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CellMar>
          <w:left w:w="10" w:type="dxa"/>
          <w:right w:w="10" w:type="dxa"/>
        </w:tblCellMar>
        <w:tblLook w:val="04A0" w:firstRow="1" w:lastRow="0" w:firstColumn="1" w:lastColumn="0" w:noHBand="0" w:noVBand="1"/>
      </w:tblPr>
      <w:tblGrid>
        <w:gridCol w:w="4814"/>
        <w:gridCol w:w="4814"/>
      </w:tblGrid>
      <w:tr w:rsidR="00F540D5" w14:paraId="672A6659" w14:textId="77777777">
        <w:tc>
          <w:tcPr>
            <w:tcW w:w="4814" w:type="dxa"/>
            <w:shd w:val="clear" w:color="auto" w:fill="auto"/>
            <w:tcMar>
              <w:top w:w="0" w:type="dxa"/>
              <w:left w:w="108" w:type="dxa"/>
              <w:bottom w:w="0" w:type="dxa"/>
              <w:right w:w="108" w:type="dxa"/>
            </w:tcMar>
          </w:tcPr>
          <w:p w14:paraId="0A37501D" w14:textId="77777777" w:rsidR="00F540D5" w:rsidRDefault="003B33A4">
            <w:pPr>
              <w:pStyle w:val="Standard"/>
              <w:spacing w:line="360" w:lineRule="auto"/>
            </w:pPr>
            <w:r w:rsidRPr="005B1B24">
              <w:rPr>
                <w:noProof/>
                <w:lang w:val="en-US" w:eastAsia="en-US" w:bidi="ar-SA"/>
              </w:rPr>
              <w:drawing>
                <wp:inline distT="0" distB="0" distL="0" distR="0" wp14:anchorId="0E3F38EB" wp14:editId="07777777">
                  <wp:extent cx="1609725" cy="866775"/>
                  <wp:effectExtent l="0" t="0" r="0" b="0"/>
                  <wp:docPr id="1" name="Imagen 1" descr="Llamado CSIC 2020 a Proyectos de Investigación y Desarrollo – Portal U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amado CSIC 2020 a Proyectos de Investigación y Desarrollo – Portal Ude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66775"/>
                          </a:xfrm>
                          <a:prstGeom prst="rect">
                            <a:avLst/>
                          </a:prstGeom>
                          <a:noFill/>
                          <a:ln>
                            <a:noFill/>
                          </a:ln>
                        </pic:spPr>
                      </pic:pic>
                    </a:graphicData>
                  </a:graphic>
                </wp:inline>
              </w:drawing>
            </w:r>
          </w:p>
        </w:tc>
        <w:tc>
          <w:tcPr>
            <w:tcW w:w="4814" w:type="dxa"/>
            <w:shd w:val="clear" w:color="auto" w:fill="auto"/>
            <w:tcMar>
              <w:top w:w="0" w:type="dxa"/>
              <w:left w:w="108" w:type="dxa"/>
              <w:bottom w:w="0" w:type="dxa"/>
              <w:right w:w="108" w:type="dxa"/>
            </w:tcMar>
          </w:tcPr>
          <w:p w14:paraId="5DAB6C7B" w14:textId="77777777" w:rsidR="00F540D5" w:rsidRDefault="003B33A4">
            <w:pPr>
              <w:pStyle w:val="Standard"/>
              <w:spacing w:line="360" w:lineRule="auto"/>
              <w:jc w:val="right"/>
            </w:pPr>
            <w:r w:rsidRPr="005B1B24">
              <w:rPr>
                <w:rFonts w:ascii="Times New Roman" w:eastAsia="Times New Roman" w:hAnsi="Times New Roman" w:cs="Times New Roman"/>
                <w:b/>
                <w:noProof/>
                <w:sz w:val="36"/>
                <w:szCs w:val="32"/>
                <w:lang w:val="en-US" w:eastAsia="en-US" w:bidi="ar-SA"/>
              </w:rPr>
              <w:drawing>
                <wp:inline distT="0" distB="0" distL="0" distR="0" wp14:anchorId="7E79036E" wp14:editId="07777777">
                  <wp:extent cx="2009775"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a:ln>
                            <a:noFill/>
                          </a:ln>
                        </pic:spPr>
                      </pic:pic>
                    </a:graphicData>
                  </a:graphic>
                </wp:inline>
              </w:drawing>
            </w:r>
          </w:p>
        </w:tc>
      </w:tr>
    </w:tbl>
    <w:p w14:paraId="02EB378F" w14:textId="77777777" w:rsidR="00F540D5" w:rsidRDefault="00F540D5">
      <w:pPr>
        <w:pStyle w:val="Standard"/>
        <w:spacing w:line="360" w:lineRule="auto"/>
        <w:jc w:val="right"/>
        <w:rPr>
          <w:rFonts w:ascii="Times New Roman" w:eastAsia="Times New Roman" w:hAnsi="Times New Roman" w:cs="Times New Roman"/>
          <w:b/>
          <w:bCs/>
          <w:sz w:val="36"/>
          <w:szCs w:val="32"/>
        </w:rPr>
      </w:pPr>
    </w:p>
    <w:p w14:paraId="3EB46512" w14:textId="77777777" w:rsidR="00F540D5" w:rsidRDefault="00307D0A">
      <w:pPr>
        <w:pStyle w:val="Standard"/>
        <w:spacing w:line="360" w:lineRule="auto"/>
        <w:jc w:val="center"/>
        <w:rPr>
          <w:rFonts w:ascii="Times New Roman" w:eastAsia="Times New Roman" w:hAnsi="Times New Roman" w:cs="Times New Roman"/>
          <w:b/>
          <w:bCs/>
          <w:sz w:val="36"/>
          <w:szCs w:val="32"/>
        </w:rPr>
      </w:pPr>
      <w:r>
        <w:rPr>
          <w:rFonts w:ascii="Times New Roman" w:eastAsia="Times New Roman" w:hAnsi="Times New Roman" w:cs="Times New Roman"/>
          <w:b/>
          <w:bCs/>
          <w:sz w:val="36"/>
          <w:szCs w:val="32"/>
        </w:rPr>
        <w:t xml:space="preserve">Programa de Apoyo a la Investigación Estudiantil </w:t>
      </w:r>
    </w:p>
    <w:p w14:paraId="252A4CCB" w14:textId="77777777" w:rsidR="00F540D5" w:rsidRDefault="00307D0A">
      <w:pPr>
        <w:pStyle w:val="Standard"/>
        <w:spacing w:line="360" w:lineRule="auto"/>
        <w:jc w:val="center"/>
        <w:rPr>
          <w:rFonts w:ascii="Times New Roman" w:eastAsia="Times New Roman" w:hAnsi="Times New Roman" w:cs="Times New Roman"/>
          <w:b/>
          <w:bCs/>
          <w:sz w:val="36"/>
          <w:szCs w:val="32"/>
        </w:rPr>
      </w:pPr>
      <w:r>
        <w:rPr>
          <w:rFonts w:ascii="Times New Roman" w:eastAsia="Times New Roman" w:hAnsi="Times New Roman" w:cs="Times New Roman"/>
          <w:b/>
          <w:bCs/>
          <w:sz w:val="36"/>
          <w:szCs w:val="32"/>
        </w:rPr>
        <w:t>(PAIE) 2022</w:t>
      </w:r>
    </w:p>
    <w:p w14:paraId="17F3BEC5" w14:textId="77777777" w:rsidR="00F540D5" w:rsidRDefault="00307D0A">
      <w:pPr>
        <w:pStyle w:val="Standard"/>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Informe final</w:t>
      </w:r>
    </w:p>
    <w:p w14:paraId="7AD8F34C" w14:textId="77777777" w:rsidR="00F540D5" w:rsidRDefault="00307D0A">
      <w:pPr>
        <w:pStyle w:val="Ttulo1"/>
        <w:numPr>
          <w:ilvl w:val="0"/>
          <w:numId w:val="1"/>
        </w:numPr>
        <w:spacing w:after="24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Información general </w:t>
      </w:r>
    </w:p>
    <w:p w14:paraId="42004F37" w14:textId="385F2EAE" w:rsidR="00AB258B" w:rsidRDefault="00307D0A">
      <w:pPr>
        <w:pStyle w:val="Standard"/>
        <w:spacing w:after="240" w:line="360" w:lineRule="auto"/>
        <w:jc w:val="both"/>
        <w:rPr>
          <w:rFonts w:ascii="Times New Roman" w:eastAsia="Times New Roman" w:hAnsi="Times New Roman" w:cs="Times New Roman"/>
        </w:rPr>
      </w:pPr>
      <w:r>
        <w:rPr>
          <w:rFonts w:ascii="Times New Roman" w:eastAsia="Times New Roman" w:hAnsi="Times New Roman" w:cs="Times New Roman"/>
        </w:rPr>
        <w:t>El llamado estuvo abierto desde el día miércoles 4 de mayo hasta el viernes 29 de julio de 2022</w:t>
      </w:r>
      <w:r>
        <w:rPr>
          <w:rStyle w:val="Refdenotaalpie"/>
          <w:rFonts w:ascii="Times New Roman" w:eastAsia="Times New Roman" w:hAnsi="Times New Roman" w:cs="Times New Roman"/>
        </w:rPr>
        <w:footnoteReference w:id="1"/>
      </w:r>
      <w:r>
        <w:rPr>
          <w:rFonts w:ascii="Times New Roman" w:eastAsia="Times New Roman" w:hAnsi="Times New Roman" w:cs="Times New Roman"/>
        </w:rPr>
        <w:t>. Se recibió un total de 63 solicitudes</w:t>
      </w:r>
      <w:r w:rsidR="00AB258B">
        <w:rPr>
          <w:rStyle w:val="Refdenotaalpie"/>
          <w:rFonts w:ascii="Times New Roman" w:eastAsia="Times New Roman" w:hAnsi="Times New Roman" w:cs="Times New Roman"/>
        </w:rPr>
        <w:footnoteReference w:id="2"/>
      </w:r>
      <w:r>
        <w:rPr>
          <w:rFonts w:ascii="Times New Roman" w:eastAsia="Times New Roman" w:hAnsi="Times New Roman" w:cs="Times New Roman"/>
        </w:rPr>
        <w:t xml:space="preserve">, </w:t>
      </w:r>
      <w:r w:rsidR="00AB258B">
        <w:rPr>
          <w:rFonts w:ascii="Times New Roman" w:eastAsia="Times New Roman" w:hAnsi="Times New Roman" w:cs="Times New Roman"/>
        </w:rPr>
        <w:t xml:space="preserve">que involucraran un total de 330 estudiantes, con un promedio approximado de 5 estudiantes por proyecto. </w:t>
      </w:r>
    </w:p>
    <w:p w14:paraId="7D4E84A6" w14:textId="0C5873CD" w:rsidR="00F540D5" w:rsidRDefault="00AB258B">
      <w:pPr>
        <w:pStyle w:val="Standard"/>
        <w:spacing w:after="240" w:line="360" w:lineRule="auto"/>
        <w:jc w:val="both"/>
      </w:pPr>
      <w:r>
        <w:rPr>
          <w:rFonts w:ascii="Times New Roman" w:eastAsia="Times New Roman" w:hAnsi="Times New Roman" w:cs="Times New Roman"/>
        </w:rPr>
        <w:t xml:space="preserve">Las solicitudes se </w:t>
      </w:r>
      <w:r w:rsidR="00307D0A">
        <w:rPr>
          <w:rFonts w:ascii="Times New Roman" w:eastAsia="Times New Roman" w:hAnsi="Times New Roman" w:cs="Times New Roman"/>
        </w:rPr>
        <w:t>distribuyeron por área de conocimiento y por servicio universitario como puede observarse en la tabla 1 y en la tabla 2, respectivamente.</w:t>
      </w:r>
    </w:p>
    <w:p w14:paraId="39AF7BF4" w14:textId="77777777" w:rsidR="00F540D5" w:rsidRDefault="00307D0A">
      <w:pPr>
        <w:pStyle w:val="Standard"/>
        <w:spacing w:after="240" w:line="360" w:lineRule="auto"/>
        <w:jc w:val="center"/>
      </w:pPr>
      <w:r>
        <w:rPr>
          <w:rFonts w:ascii="Times New Roman" w:eastAsia="Times New Roman" w:hAnsi="Times New Roman" w:cs="Times New Roman"/>
          <w:b/>
          <w:bCs/>
          <w:sz w:val="22"/>
          <w:szCs w:val="22"/>
        </w:rPr>
        <w:t>Tabla 1.</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Distribución de solicitudes según área de conocimiento</w:t>
      </w:r>
    </w:p>
    <w:tbl>
      <w:tblPr>
        <w:tblW w:w="3258" w:type="dxa"/>
        <w:jc w:val="center"/>
        <w:tblLayout w:type="fixed"/>
        <w:tblCellMar>
          <w:left w:w="10" w:type="dxa"/>
          <w:right w:w="10" w:type="dxa"/>
        </w:tblCellMar>
        <w:tblLook w:val="04A0" w:firstRow="1" w:lastRow="0" w:firstColumn="1" w:lastColumn="0" w:noHBand="0" w:noVBand="1"/>
      </w:tblPr>
      <w:tblGrid>
        <w:gridCol w:w="1982"/>
        <w:gridCol w:w="1276"/>
      </w:tblGrid>
      <w:tr w:rsidR="00F540D5" w14:paraId="5AF422DA" w14:textId="77777777">
        <w:trPr>
          <w:trHeight w:val="256"/>
          <w:jc w:val="center"/>
        </w:trPr>
        <w:tc>
          <w:tcPr>
            <w:tcW w:w="1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14:paraId="3A91D463"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Área</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5FF43DB"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Proyectos</w:t>
            </w:r>
          </w:p>
        </w:tc>
      </w:tr>
      <w:tr w:rsidR="00F540D5" w14:paraId="4BB1B761"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411BF4B"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Agraria</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5697EEC"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F540D5" w14:paraId="0670DFEA"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62E321E"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Básica</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EB5E791"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F540D5" w14:paraId="6CAB1E92"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D43C5E7"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Salud</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26D80A2"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r>
      <w:tr w:rsidR="00F540D5" w14:paraId="037C32B1"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FD83D4"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Social y Artística</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32BF140"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F540D5" w14:paraId="754697B9"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6DE19E2"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Tecnológica</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9B4EA11"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F540D5" w14:paraId="24D65978"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6FE0C09"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Total</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3028211"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63</w:t>
            </w:r>
          </w:p>
        </w:tc>
      </w:tr>
    </w:tbl>
    <w:p w14:paraId="6A05A809" w14:textId="77777777" w:rsidR="00F540D5" w:rsidRDefault="00F540D5">
      <w:pPr>
        <w:pStyle w:val="Standard"/>
        <w:spacing w:line="360" w:lineRule="auto"/>
        <w:rPr>
          <w:rFonts w:ascii="Times New Roman" w:eastAsia="Times New Roman" w:hAnsi="Times New Roman" w:cs="Times New Roman"/>
          <w:color w:val="000000"/>
        </w:rPr>
      </w:pPr>
    </w:p>
    <w:p w14:paraId="1C631292" w14:textId="77777777" w:rsidR="00F540D5" w:rsidRDefault="00307D0A">
      <w:pPr>
        <w:pStyle w:val="Standard"/>
        <w:spacing w:after="240" w:line="360" w:lineRule="auto"/>
        <w:jc w:val="center"/>
      </w:pPr>
      <w:r>
        <w:rPr>
          <w:rFonts w:ascii="Times New Roman" w:eastAsia="Times New Roman" w:hAnsi="Times New Roman" w:cs="Times New Roman"/>
          <w:b/>
          <w:bCs/>
          <w:color w:val="000000"/>
          <w:sz w:val="22"/>
          <w:szCs w:val="22"/>
        </w:rPr>
        <w:t>Tabla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color w:val="000000"/>
          <w:sz w:val="22"/>
          <w:szCs w:val="22"/>
        </w:rPr>
        <w:t>Distribución de solicitudes según servicio universitario del proyecto</w:t>
      </w:r>
    </w:p>
    <w:tbl>
      <w:tblPr>
        <w:tblW w:w="7790" w:type="dxa"/>
        <w:jc w:val="center"/>
        <w:tblCellMar>
          <w:left w:w="10" w:type="dxa"/>
          <w:right w:w="10" w:type="dxa"/>
        </w:tblCellMar>
        <w:tblLook w:val="04A0" w:firstRow="1" w:lastRow="0" w:firstColumn="1" w:lastColumn="0" w:noHBand="0" w:noVBand="1"/>
      </w:tblPr>
      <w:tblGrid>
        <w:gridCol w:w="6440"/>
        <w:gridCol w:w="1350"/>
      </w:tblGrid>
      <w:tr w:rsidR="00F540D5" w14:paraId="52D62529" w14:textId="77777777">
        <w:trPr>
          <w:trHeight w:val="54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D557A"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Servicios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F5D2"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Proyectos</w:t>
            </w:r>
          </w:p>
        </w:tc>
      </w:tr>
      <w:tr w:rsidR="00F540D5" w14:paraId="4FABFC4E"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6436E"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Centro Universitario del Litoral Norte: Paysandú y Salto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8484"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F540D5" w14:paraId="1D4092C5"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667B0"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Centro Universitario del Noreste: Rivera, Tacuarembó y Cerro Largo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E3DE"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F540D5" w14:paraId="33D84F3A"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DD82B"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Escuela Universitaria de Tecnología Médica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99B5"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F540D5" w14:paraId="0A829C94"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0DC090"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Agronomía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751B"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F540D5" w14:paraId="3DCE2036"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3AC41"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Facultad de Arquitectura, Diseño y Urbanismo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8DEE6"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r>
      <w:tr w:rsidR="00F540D5" w14:paraId="7490EA2E"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574A9A"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 de Artes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41BE"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F540D5" w14:paraId="6942BB2F"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E74CE"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Ciencias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EC6B"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F540D5" w14:paraId="37BBCAE6"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11154"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Derecho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EC4"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r w:rsidR="00F540D5" w14:paraId="310677C0"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72BC7"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Humanidades y Ciencias de la Educación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78152"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r w:rsidR="00F540D5" w14:paraId="60031EA0"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95F18"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Información y Comunicación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20A0C"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F540D5" w14:paraId="6841A048"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1D170"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Medicina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6E3D"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r w:rsidR="00F540D5" w14:paraId="6A91BBBA"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D8F61"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Psicología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1E47"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5075168A"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08766"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Química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84CA"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F540D5" w14:paraId="18468DF1"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F4140"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Facultad de Veterinaria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0AAE"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2125A5A2"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F7ECF"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Instituto de Higiene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F596"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F540D5" w14:paraId="3D4C6A74" w14:textId="77777777">
        <w:trPr>
          <w:trHeight w:val="300"/>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48142" w14:textId="77777777" w:rsidR="00F540D5" w:rsidRDefault="00307D0A">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Instituto Superior de Educación Física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1B90" w14:textId="77777777" w:rsidR="00F540D5" w:rsidRDefault="00307D0A">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F540D5" w14:paraId="217BAD7C" w14:textId="77777777">
        <w:trPr>
          <w:trHeight w:val="285"/>
          <w:jc w:val="center"/>
        </w:trPr>
        <w:tc>
          <w:tcPr>
            <w:tcW w:w="6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80CDB5" w14:textId="77777777" w:rsidR="00F540D5" w:rsidRDefault="00307D0A">
            <w:pPr>
              <w:pStyle w:val="Standard"/>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B063" w14:textId="77777777" w:rsidR="00F540D5" w:rsidRDefault="00307D0A">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63</w:t>
            </w:r>
          </w:p>
        </w:tc>
      </w:tr>
    </w:tbl>
    <w:p w14:paraId="5A39BBE3" w14:textId="77777777" w:rsidR="00F540D5" w:rsidRDefault="00F540D5">
      <w:pPr>
        <w:pStyle w:val="Standard"/>
        <w:spacing w:line="360" w:lineRule="auto"/>
        <w:rPr>
          <w:rFonts w:ascii="Times New Roman" w:eastAsia="Times New Roman" w:hAnsi="Times New Roman" w:cs="Times New Roman"/>
          <w:b/>
          <w:bCs/>
        </w:rPr>
      </w:pPr>
    </w:p>
    <w:p w14:paraId="68CF7170" w14:textId="69F8A3EB" w:rsidR="00F540D5" w:rsidRDefault="00307D0A">
      <w:pPr>
        <w:pStyle w:val="Standard"/>
        <w:spacing w:after="240" w:line="360" w:lineRule="auto"/>
        <w:jc w:val="both"/>
      </w:pPr>
      <w:r>
        <w:rPr>
          <w:rFonts w:ascii="Times New Roman" w:eastAsia="Times New Roman" w:hAnsi="Times New Roman" w:cs="Times New Roman"/>
        </w:rPr>
        <w:t xml:space="preserve">En la tabla 3 se </w:t>
      </w:r>
      <w:r w:rsidR="00AB258B">
        <w:rPr>
          <w:rFonts w:ascii="Times New Roman" w:eastAsia="Times New Roman" w:hAnsi="Times New Roman" w:cs="Times New Roman"/>
        </w:rPr>
        <w:t>presenta</w:t>
      </w:r>
      <w:r>
        <w:rPr>
          <w:rFonts w:ascii="Times New Roman" w:eastAsia="Times New Roman" w:hAnsi="Times New Roman" w:cs="Times New Roman"/>
        </w:rPr>
        <w:t xml:space="preserve">la distribución por sexo de los estudiantes responsables. </w:t>
      </w:r>
      <w:r w:rsidR="00AB258B">
        <w:rPr>
          <w:rFonts w:ascii="Times New Roman" w:eastAsia="Times New Roman" w:hAnsi="Times New Roman" w:cs="Times New Roman"/>
        </w:rPr>
        <w:t>En esta edición, de acuerdo a lo observado desde 2018, hay más responsables mujeres que varones.</w:t>
      </w:r>
      <w:r>
        <w:rPr>
          <w:rFonts w:ascii="Times New Roman" w:eastAsia="Times New Roman" w:hAnsi="Times New Roman" w:cs="Times New Roman"/>
        </w:rPr>
        <w:t>. La tabla 4, por su parte, muestra la distribución de docentes orientadores por grado. En esta oportunidad se mantiene la tendencia de una mayoría de docentes grados 2 como orientadores de proyectos PAIE</w:t>
      </w:r>
      <w:r w:rsidR="00AB258B">
        <w:rPr>
          <w:rFonts w:ascii="Times New Roman" w:eastAsia="Times New Roman" w:hAnsi="Times New Roman" w:cs="Times New Roman"/>
        </w:rPr>
        <w:t>, también desde 2018</w:t>
      </w:r>
      <w:r>
        <w:rPr>
          <w:rFonts w:ascii="Times New Roman" w:eastAsia="Times New Roman" w:hAnsi="Times New Roman" w:cs="Times New Roman"/>
        </w:rPr>
        <w:t>.</w:t>
      </w:r>
    </w:p>
    <w:p w14:paraId="5EE3F039" w14:textId="6D74EFA6" w:rsidR="00F540D5" w:rsidRDefault="00307D0A">
      <w:pPr>
        <w:pStyle w:val="Standard"/>
        <w:spacing w:after="240" w:line="360" w:lineRule="auto"/>
        <w:jc w:val="center"/>
      </w:pPr>
      <w:r>
        <w:rPr>
          <w:rFonts w:ascii="Times New Roman" w:eastAsia="Times New Roman" w:hAnsi="Times New Roman" w:cs="Times New Roman"/>
          <w:b/>
          <w:bCs/>
          <w:sz w:val="22"/>
          <w:szCs w:val="22"/>
        </w:rPr>
        <w:t>Tabla 3.</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Distribución por sexo de los estudiantes responsables</w:t>
      </w:r>
      <w:r w:rsidR="00AB258B">
        <w:rPr>
          <w:rFonts w:ascii="Times New Roman" w:eastAsia="Times New Roman" w:hAnsi="Times New Roman" w:cs="Times New Roman"/>
          <w:b/>
          <w:bCs/>
          <w:sz w:val="22"/>
          <w:szCs w:val="22"/>
        </w:rPr>
        <w:t xml:space="preserve"> por sexo</w:t>
      </w:r>
    </w:p>
    <w:tbl>
      <w:tblPr>
        <w:tblW w:w="4305" w:type="dxa"/>
        <w:jc w:val="center"/>
        <w:tblLayout w:type="fixed"/>
        <w:tblCellMar>
          <w:left w:w="10" w:type="dxa"/>
          <w:right w:w="10" w:type="dxa"/>
        </w:tblCellMar>
        <w:tblLook w:val="04A0" w:firstRow="1" w:lastRow="0" w:firstColumn="1" w:lastColumn="0" w:noHBand="0" w:noVBand="1"/>
      </w:tblPr>
      <w:tblGrid>
        <w:gridCol w:w="690"/>
        <w:gridCol w:w="1395"/>
        <w:gridCol w:w="2220"/>
      </w:tblGrid>
      <w:tr w:rsidR="00F540D5" w14:paraId="399F6A14" w14:textId="77777777">
        <w:trPr>
          <w:trHeight w:val="256"/>
          <w:jc w:val="center"/>
        </w:trPr>
        <w:tc>
          <w:tcPr>
            <w:tcW w:w="690" w:type="dxa"/>
            <w:vMerge w:val="restart"/>
            <w:tcBorders>
              <w:top w:val="single" w:sz="2" w:space="0" w:color="000000"/>
              <w:left w:val="single" w:sz="2" w:space="0" w:color="000000"/>
            </w:tcBorders>
            <w:shd w:val="clear" w:color="auto" w:fill="auto"/>
            <w:tcMar>
              <w:top w:w="55" w:type="dxa"/>
              <w:left w:w="55" w:type="dxa"/>
              <w:bottom w:w="55" w:type="dxa"/>
              <w:right w:w="55" w:type="dxa"/>
            </w:tcMar>
            <w:vAlign w:val="bottom"/>
          </w:tcPr>
          <w:p w14:paraId="41C8F396" w14:textId="77777777" w:rsidR="00F540D5" w:rsidRDefault="00F540D5">
            <w:pPr>
              <w:pStyle w:val="Standard"/>
              <w:spacing w:line="360" w:lineRule="auto"/>
              <w:rPr>
                <w:rFonts w:ascii="Times New Roman" w:eastAsia="Times New Roman" w:hAnsi="Times New Roman" w:cs="Times New Roman"/>
                <w:sz w:val="22"/>
                <w:szCs w:val="22"/>
              </w:rPr>
            </w:pPr>
          </w:p>
        </w:tc>
        <w:tc>
          <w:tcPr>
            <w:tcW w:w="361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1542574"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Responsable</w:t>
            </w:r>
          </w:p>
        </w:tc>
      </w:tr>
      <w:tr w:rsidR="00F540D5" w14:paraId="4C1C127E" w14:textId="77777777">
        <w:trPr>
          <w:trHeight w:val="256"/>
          <w:jc w:val="center"/>
        </w:trPr>
        <w:tc>
          <w:tcPr>
            <w:tcW w:w="690" w:type="dxa"/>
            <w:vMerge/>
            <w:tcBorders>
              <w:top w:val="single" w:sz="2" w:space="0" w:color="000000"/>
              <w:left w:val="single" w:sz="2" w:space="0" w:color="000000"/>
            </w:tcBorders>
            <w:shd w:val="clear" w:color="auto" w:fill="auto"/>
            <w:tcMar>
              <w:top w:w="55" w:type="dxa"/>
              <w:left w:w="55" w:type="dxa"/>
              <w:bottom w:w="55" w:type="dxa"/>
              <w:right w:w="55" w:type="dxa"/>
            </w:tcMar>
            <w:vAlign w:val="bottom"/>
          </w:tcPr>
          <w:p w14:paraId="72A3D3EC" w14:textId="77777777" w:rsidR="00F540D5" w:rsidRDefault="00F540D5">
            <w:pPr>
              <w:suppressAutoHyphens w:val="0"/>
              <w:rPr>
                <w:rFonts w:ascii="Times New Roman" w:hAnsi="Times New Roman" w:cs="Times New Roman"/>
              </w:rPr>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14C81F8"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Frec.</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462C093"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p>
        </w:tc>
      </w:tr>
      <w:tr w:rsidR="00F540D5" w14:paraId="3E0CE157" w14:textId="77777777">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2692EA"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w:t>
            </w: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CD124DB"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38</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DE3EA3A"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60.3</w:t>
            </w:r>
          </w:p>
        </w:tc>
      </w:tr>
      <w:tr w:rsidR="00F540D5" w14:paraId="4C0BD97D" w14:textId="77777777">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695634"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w:t>
            </w: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FDD700"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24FF662"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39.7</w:t>
            </w:r>
          </w:p>
        </w:tc>
      </w:tr>
      <w:tr w:rsidR="00F540D5" w14:paraId="04ACF3D6" w14:textId="77777777">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1E8FDB7"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Total</w:t>
            </w: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DC14BB"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63</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CCF700D"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100</w:t>
            </w:r>
          </w:p>
        </w:tc>
      </w:tr>
    </w:tbl>
    <w:p w14:paraId="29D6B04F" w14:textId="77777777" w:rsidR="00F540D5" w:rsidRDefault="00307D0A">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15CDD4B6" w14:textId="1BFEF18C" w:rsidR="00F540D5" w:rsidRDefault="00307D0A">
      <w:pPr>
        <w:pStyle w:val="Standard"/>
        <w:spacing w:after="240" w:line="360" w:lineRule="auto"/>
        <w:jc w:val="center"/>
      </w:pPr>
      <w:r>
        <w:rPr>
          <w:rFonts w:ascii="Times New Roman" w:eastAsia="Times New Roman" w:hAnsi="Times New Roman" w:cs="Times New Roman"/>
          <w:b/>
          <w:bCs/>
          <w:sz w:val="22"/>
          <w:szCs w:val="22"/>
        </w:rPr>
        <w:t>Tabla 4.</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 xml:space="preserve">Distribución de </w:t>
      </w:r>
      <w:r w:rsidR="00AB258B">
        <w:rPr>
          <w:rFonts w:ascii="Times New Roman" w:eastAsia="Times New Roman" w:hAnsi="Times New Roman" w:cs="Times New Roman"/>
          <w:b/>
          <w:bCs/>
          <w:sz w:val="22"/>
          <w:szCs w:val="22"/>
        </w:rPr>
        <w:t>d</w:t>
      </w:r>
      <w:r>
        <w:rPr>
          <w:rFonts w:ascii="Times New Roman" w:eastAsia="Times New Roman" w:hAnsi="Times New Roman" w:cs="Times New Roman"/>
          <w:b/>
          <w:bCs/>
          <w:sz w:val="22"/>
          <w:szCs w:val="22"/>
        </w:rPr>
        <w:t xml:space="preserve">ocentes </w:t>
      </w:r>
      <w:r w:rsidR="00AB258B">
        <w:rPr>
          <w:rFonts w:ascii="Times New Roman" w:eastAsia="Times New Roman" w:hAnsi="Times New Roman" w:cs="Times New Roman"/>
          <w:b/>
          <w:bCs/>
          <w:sz w:val="22"/>
          <w:szCs w:val="22"/>
        </w:rPr>
        <w:t>o</w:t>
      </w:r>
      <w:r>
        <w:rPr>
          <w:rFonts w:ascii="Times New Roman" w:eastAsia="Times New Roman" w:hAnsi="Times New Roman" w:cs="Times New Roman"/>
          <w:b/>
          <w:bCs/>
          <w:sz w:val="22"/>
          <w:szCs w:val="22"/>
        </w:rPr>
        <w:t>rientadores por grado</w:t>
      </w:r>
      <w:r>
        <w:rPr>
          <w:rStyle w:val="Refdenotaalpie"/>
          <w:rFonts w:ascii="Times New Roman" w:eastAsia="Times New Roman" w:hAnsi="Times New Roman" w:cs="Times New Roman"/>
          <w:b/>
          <w:bCs/>
          <w:sz w:val="22"/>
          <w:szCs w:val="22"/>
        </w:rPr>
        <w:footnoteReference w:id="3"/>
      </w:r>
    </w:p>
    <w:tbl>
      <w:tblPr>
        <w:tblW w:w="4410" w:type="dxa"/>
        <w:jc w:val="center"/>
        <w:tblLayout w:type="fixed"/>
        <w:tblCellMar>
          <w:left w:w="10" w:type="dxa"/>
          <w:right w:w="10" w:type="dxa"/>
        </w:tblCellMar>
        <w:tblLook w:val="04A0" w:firstRow="1" w:lastRow="0" w:firstColumn="1" w:lastColumn="0" w:noHBand="0" w:noVBand="1"/>
      </w:tblPr>
      <w:tblGrid>
        <w:gridCol w:w="1545"/>
        <w:gridCol w:w="1515"/>
        <w:gridCol w:w="1350"/>
      </w:tblGrid>
      <w:tr w:rsidR="00F540D5" w14:paraId="7D8A1D54"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80A0" w14:textId="77777777" w:rsidR="00F540D5" w:rsidRDefault="00307D0A">
            <w:pPr>
              <w:pStyle w:val="Standard"/>
              <w:jc w:val="center"/>
              <w:rPr>
                <w:rFonts w:ascii="Times New Roman" w:eastAsia="Times New Roman" w:hAnsi="Times New Roman" w:cs="Times New Roman"/>
                <w:b/>
                <w:bCs/>
              </w:rPr>
            </w:pPr>
            <w:r>
              <w:rPr>
                <w:rFonts w:ascii="Times New Roman" w:eastAsia="Times New Roman" w:hAnsi="Times New Roman" w:cs="Times New Roman"/>
                <w:b/>
                <w:bCs/>
              </w:rPr>
              <w:t>Grado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8486C" w14:textId="77777777" w:rsidR="00F540D5" w:rsidRDefault="00307D0A">
            <w:pPr>
              <w:pStyle w:val="Standard"/>
              <w:jc w:val="center"/>
              <w:rPr>
                <w:rFonts w:ascii="Times New Roman" w:eastAsia="Times New Roman" w:hAnsi="Times New Roman" w:cs="Times New Roman"/>
                <w:b/>
                <w:bCs/>
              </w:rPr>
            </w:pPr>
            <w:r>
              <w:rPr>
                <w:rFonts w:ascii="Times New Roman" w:eastAsia="Times New Roman" w:hAnsi="Times New Roman" w:cs="Times New Roman"/>
                <w:b/>
                <w:bCs/>
              </w:rPr>
              <w:t>Frecuencia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E1C8" w14:textId="77777777" w:rsidR="00F540D5" w:rsidRDefault="00307D0A">
            <w:pPr>
              <w:pStyle w:val="Standard"/>
              <w:jc w:val="center"/>
              <w:rPr>
                <w:rFonts w:ascii="Times New Roman" w:eastAsia="Times New Roman" w:hAnsi="Times New Roman" w:cs="Times New Roman"/>
                <w:b/>
                <w:bCs/>
              </w:rPr>
            </w:pPr>
            <w:r>
              <w:rPr>
                <w:rFonts w:ascii="Times New Roman" w:eastAsia="Times New Roman" w:hAnsi="Times New Roman" w:cs="Times New Roman"/>
                <w:b/>
                <w:bCs/>
              </w:rPr>
              <w:t>%</w:t>
            </w:r>
          </w:p>
        </w:tc>
      </w:tr>
      <w:tr w:rsidR="00F540D5" w14:paraId="63C61C1E"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28F9"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3B24"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FE82"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44.4</w:t>
            </w:r>
          </w:p>
        </w:tc>
      </w:tr>
      <w:tr w:rsidR="00F540D5" w14:paraId="4C8C4DD4"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363B"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B8EE"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DDD8"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38.1</w:t>
            </w:r>
          </w:p>
        </w:tc>
      </w:tr>
      <w:tr w:rsidR="00F540D5" w14:paraId="498AAF9E"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35FF"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A208"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AE45"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12.7</w:t>
            </w:r>
          </w:p>
        </w:tc>
      </w:tr>
      <w:tr w:rsidR="00F540D5" w14:paraId="69704DA3"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90EB"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7477"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6BDF"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4.8</w:t>
            </w:r>
          </w:p>
        </w:tc>
      </w:tr>
      <w:tr w:rsidR="00F540D5" w14:paraId="15C3C232" w14:textId="77777777">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70B4" w14:textId="77777777" w:rsidR="00F540D5" w:rsidRDefault="00307D0A">
            <w:pPr>
              <w:pStyle w:val="Standard"/>
              <w:rPr>
                <w:rFonts w:ascii="Times New Roman" w:eastAsia="Times New Roman" w:hAnsi="Times New Roman" w:cs="Times New Roman"/>
              </w:rPr>
            </w:pPr>
            <w:r>
              <w:rPr>
                <w:rFonts w:ascii="Times New Roman" w:eastAsia="Times New Roman" w:hAnsi="Times New Roman" w:cs="Times New Roman"/>
              </w:rPr>
              <w:t>Total</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25C2"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63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2823" w14:textId="77777777" w:rsidR="00F540D5" w:rsidRDefault="00307D0A">
            <w:pPr>
              <w:pStyle w:val="Standard"/>
              <w:jc w:val="center"/>
              <w:rPr>
                <w:rFonts w:ascii="Times New Roman" w:eastAsia="Times New Roman" w:hAnsi="Times New Roman" w:cs="Times New Roman"/>
              </w:rPr>
            </w:pPr>
            <w:r>
              <w:rPr>
                <w:rFonts w:ascii="Times New Roman" w:eastAsia="Times New Roman" w:hAnsi="Times New Roman" w:cs="Times New Roman"/>
              </w:rPr>
              <w:t>100</w:t>
            </w:r>
          </w:p>
        </w:tc>
      </w:tr>
    </w:tbl>
    <w:p w14:paraId="0D0B940D" w14:textId="77777777" w:rsidR="00F540D5" w:rsidRDefault="00F540D5">
      <w:pPr>
        <w:pStyle w:val="Standard"/>
        <w:spacing w:after="240" w:line="360" w:lineRule="auto"/>
        <w:jc w:val="center"/>
        <w:rPr>
          <w:rFonts w:ascii="Times New Roman" w:eastAsia="Times New Roman" w:hAnsi="Times New Roman" w:cs="Times New Roman"/>
          <w:b/>
          <w:bCs/>
        </w:rPr>
      </w:pPr>
    </w:p>
    <w:p w14:paraId="6E18BDAE" w14:textId="50CC6C90" w:rsidR="00F540D5" w:rsidRDefault="00AB258B">
      <w:pPr>
        <w:pStyle w:val="Ttulo1"/>
        <w:numPr>
          <w:ilvl w:val="0"/>
          <w:numId w:val="1"/>
        </w:numPr>
        <w:spacing w:after="240"/>
      </w:pPr>
      <w:r>
        <w:rPr>
          <w:rFonts w:ascii="Times New Roman" w:hAnsi="Times New Roman" w:cs="Times New Roman"/>
          <w:b/>
          <w:bCs/>
          <w:color w:val="auto"/>
          <w:sz w:val="28"/>
          <w:szCs w:val="28"/>
        </w:rPr>
        <w:t>Revisión de cumplimiento de bases</w:t>
      </w:r>
    </w:p>
    <w:p w14:paraId="09E1816F" w14:textId="49703442" w:rsidR="00F540D5" w:rsidRDefault="00AB258B" w:rsidP="00AB258B">
      <w:pPr>
        <w:pStyle w:val="Standard"/>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revisión de las solicitudes en relación al cumplimiento de las bases fue realizada por </w:t>
      </w:r>
      <w:r w:rsidR="00307D0A">
        <w:rPr>
          <w:rFonts w:ascii="Times New Roman" w:eastAsia="Times New Roman" w:hAnsi="Times New Roman" w:cs="Times New Roman"/>
        </w:rPr>
        <w:t xml:space="preserve">por Camila </w:t>
      </w:r>
      <w:r w:rsidR="00307D0A">
        <w:rPr>
          <w:rFonts w:ascii="Times New Roman" w:eastAsia="Times New Roman" w:hAnsi="Times New Roman" w:cs="Times New Roman"/>
        </w:rPr>
        <w:lastRenderedPageBreak/>
        <w:t xml:space="preserve">Zeballos (Unidad Académica) y Luz Morán (Unidad Administrativa) durante el lunes 1 de agosto y el miércoles 3. </w:t>
      </w:r>
      <w:r>
        <w:rPr>
          <w:rFonts w:ascii="Times New Roman" w:eastAsia="Times New Roman" w:hAnsi="Times New Roman" w:cs="Times New Roman"/>
        </w:rPr>
        <w:t>La revisión consistió en observar que los siguientes documentos incorporados en el formulario de postulación fueran correctos</w:t>
      </w:r>
    </w:p>
    <w:p w14:paraId="1BCBF9B0" w14:textId="36777F95" w:rsidR="00AB258B" w:rsidRDefault="00AB258B">
      <w:pPr>
        <w:pStyle w:val="Standard"/>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Propuesta de investigación</w:t>
      </w:r>
    </w:p>
    <w:p w14:paraId="7986D6A9" w14:textId="70919347" w:rsidR="00F540D5" w:rsidRDefault="00307D0A">
      <w:pPr>
        <w:pStyle w:val="Standard"/>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CV de estudiantes</w:t>
      </w:r>
    </w:p>
    <w:p w14:paraId="43F19D95" w14:textId="21665744" w:rsidR="00F540D5" w:rsidRDefault="00307D0A">
      <w:pPr>
        <w:pStyle w:val="Standard"/>
        <w:numPr>
          <w:ilvl w:val="1"/>
          <w:numId w:val="2"/>
        </w:numPr>
        <w:spacing w:line="360" w:lineRule="auto"/>
        <w:jc w:val="both"/>
      </w:pPr>
      <w:r>
        <w:rPr>
          <w:rFonts w:ascii="Times New Roman" w:eastAsia="Times New Roman" w:hAnsi="Times New Roman" w:cs="Times New Roman"/>
        </w:rPr>
        <w:t>Escolaridad de todos los postulantes (constancia de estudio en caso de ser estudiante de primer año) emitidas en 2022</w:t>
      </w:r>
      <w:r>
        <w:rPr>
          <w:rStyle w:val="Refdenotaalpie"/>
          <w:rFonts w:ascii="Times New Roman" w:eastAsia="Times New Roman" w:hAnsi="Times New Roman" w:cs="Times New Roman"/>
        </w:rPr>
        <w:footnoteReference w:id="4"/>
      </w:r>
      <w:r>
        <w:rPr>
          <w:rFonts w:ascii="Times New Roman" w:eastAsia="Times New Roman" w:hAnsi="Times New Roman" w:cs="Times New Roman"/>
        </w:rPr>
        <w:t xml:space="preserve"> </w:t>
      </w:r>
    </w:p>
    <w:p w14:paraId="3B9AD221" w14:textId="77777777" w:rsidR="00F540D5" w:rsidRDefault="00307D0A">
      <w:pPr>
        <w:pStyle w:val="Standard"/>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CV de docentes orientadores</w:t>
      </w:r>
    </w:p>
    <w:p w14:paraId="4B99BF6F" w14:textId="77777777" w:rsidR="00F540D5" w:rsidRDefault="00307D0A">
      <w:pPr>
        <w:pStyle w:val="Standard"/>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Documento de firmas</w:t>
      </w:r>
    </w:p>
    <w:p w14:paraId="17D27276" w14:textId="77777777" w:rsidR="00F540D5" w:rsidRDefault="00307D0A">
      <w:pPr>
        <w:pStyle w:val="Standard"/>
        <w:numPr>
          <w:ilvl w:val="1"/>
          <w:numId w:val="2"/>
        </w:numPr>
        <w:spacing w:line="360" w:lineRule="auto"/>
        <w:jc w:val="both"/>
      </w:pPr>
      <w:r>
        <w:rPr>
          <w:rFonts w:ascii="Times New Roman" w:eastAsia="Times New Roman" w:hAnsi="Times New Roman" w:cs="Times New Roman"/>
        </w:rPr>
        <w:t xml:space="preserve">Nota de compromiso completa y firmada por el Docente Orientador. </w:t>
      </w:r>
    </w:p>
    <w:p w14:paraId="00630D82" w14:textId="77777777" w:rsidR="00F540D5" w:rsidRDefault="00307D0A">
      <w:pPr>
        <w:pStyle w:val="Standard"/>
        <w:numPr>
          <w:ilvl w:val="1"/>
          <w:numId w:val="2"/>
        </w:numPr>
        <w:spacing w:line="360" w:lineRule="auto"/>
        <w:jc w:val="both"/>
      </w:pPr>
      <w:r>
        <w:rPr>
          <w:rFonts w:ascii="Times New Roman" w:eastAsia="Times New Roman" w:hAnsi="Times New Roman" w:cs="Times New Roman"/>
        </w:rPr>
        <w:t>En caso de corresponder:</w:t>
      </w:r>
    </w:p>
    <w:p w14:paraId="520FD265" w14:textId="77777777" w:rsidR="00F540D5" w:rsidRDefault="00307D0A">
      <w:pPr>
        <w:pStyle w:val="Standard"/>
        <w:numPr>
          <w:ilvl w:val="2"/>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Certificados de trámite o aprobación de Comité de Ética o Comisión Honoraria de Experimentación Animal</w:t>
      </w:r>
    </w:p>
    <w:p w14:paraId="0CF75D34" w14:textId="77777777" w:rsidR="00F540D5" w:rsidRDefault="00307D0A">
      <w:pPr>
        <w:pStyle w:val="Standard"/>
        <w:numPr>
          <w:ilvl w:val="2"/>
          <w:numId w:val="2"/>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Carta oficial de la/s instituciones/s que apoya/n al equipo.</w:t>
      </w:r>
    </w:p>
    <w:p w14:paraId="570B7B36" w14:textId="6159D762" w:rsidR="00F540D5" w:rsidRDefault="00AB258B">
      <w:pPr>
        <w:pStyle w:val="Standard"/>
        <w:spacing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Como resultado del proceso de revisión se obtuvo que </w:t>
      </w:r>
      <w:r w:rsidR="00307D0A">
        <w:rPr>
          <w:rFonts w:ascii="Times New Roman" w:eastAsia="Times New Roman" w:hAnsi="Times New Roman" w:cs="Times New Roman"/>
        </w:rPr>
        <w:t xml:space="preserve">53 </w:t>
      </w:r>
      <w:r>
        <w:rPr>
          <w:rFonts w:ascii="Times New Roman" w:eastAsia="Times New Roman" w:hAnsi="Times New Roman" w:cs="Times New Roman"/>
        </w:rPr>
        <w:t>solicitudes</w:t>
      </w:r>
      <w:r w:rsidR="00307D0A">
        <w:rPr>
          <w:rFonts w:ascii="Times New Roman" w:eastAsia="Times New Roman" w:hAnsi="Times New Roman" w:cs="Times New Roman"/>
        </w:rPr>
        <w:t xml:space="preserve"> entregaron todos los documentos</w:t>
      </w:r>
      <w:r>
        <w:rPr>
          <w:rFonts w:ascii="Times New Roman" w:eastAsia="Times New Roman" w:hAnsi="Times New Roman" w:cs="Times New Roman"/>
        </w:rPr>
        <w:t xml:space="preserve"> y </w:t>
      </w:r>
      <w:r w:rsidR="00307D0A">
        <w:rPr>
          <w:rFonts w:ascii="Times New Roman" w:eastAsia="Times New Roman" w:hAnsi="Times New Roman" w:cs="Times New Roman"/>
        </w:rPr>
        <w:t xml:space="preserve">10 </w:t>
      </w:r>
      <w:r>
        <w:rPr>
          <w:rFonts w:ascii="Times New Roman" w:eastAsia="Times New Roman" w:hAnsi="Times New Roman" w:cs="Times New Roman"/>
        </w:rPr>
        <w:t>solicitudes</w:t>
      </w:r>
      <w:r w:rsidR="00307D0A">
        <w:rPr>
          <w:rFonts w:ascii="Times New Roman" w:eastAsia="Times New Roman" w:hAnsi="Times New Roman" w:cs="Times New Roman"/>
        </w:rPr>
        <w:t xml:space="preserve"> presentaron diversas deficiencias</w:t>
      </w:r>
      <w:r>
        <w:rPr>
          <w:rFonts w:ascii="Times New Roman" w:eastAsia="Times New Roman" w:hAnsi="Times New Roman" w:cs="Times New Roman"/>
        </w:rPr>
        <w:t>. Concretamente, faltó</w:t>
      </w:r>
      <w:r w:rsidR="00307D0A">
        <w:rPr>
          <w:rFonts w:ascii="Times New Roman" w:eastAsia="Times New Roman" w:hAnsi="Times New Roman" w:cs="Times New Roman"/>
        </w:rPr>
        <w:t xml:space="preserve">: </w:t>
      </w:r>
    </w:p>
    <w:p w14:paraId="67CC1222" w14:textId="52395B21" w:rsidR="00F540D5" w:rsidRDefault="00AB258B">
      <w:pPr>
        <w:pStyle w:val="Standard"/>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E</w:t>
      </w:r>
      <w:r w:rsidR="00307D0A">
        <w:rPr>
          <w:rFonts w:ascii="Times New Roman" w:eastAsia="Times New Roman" w:hAnsi="Times New Roman" w:cs="Times New Roman"/>
        </w:rPr>
        <w:t>scolaridad de alguno de los integrantes del proyecto: 3</w:t>
      </w:r>
      <w:r>
        <w:rPr>
          <w:rFonts w:ascii="Times New Roman" w:eastAsia="Times New Roman" w:hAnsi="Times New Roman" w:cs="Times New Roman"/>
        </w:rPr>
        <w:t xml:space="preserve"> solicitudes</w:t>
      </w:r>
    </w:p>
    <w:p w14:paraId="50AF7853" w14:textId="4AD3A956" w:rsidR="00F540D5" w:rsidRDefault="00307D0A">
      <w:pPr>
        <w:pStyle w:val="Standard"/>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CV de alguno de los integrantes: 2</w:t>
      </w:r>
      <w:r w:rsidR="00AB258B">
        <w:rPr>
          <w:rFonts w:ascii="Times New Roman" w:eastAsia="Times New Roman" w:hAnsi="Times New Roman" w:cs="Times New Roman"/>
        </w:rPr>
        <w:t xml:space="preserve"> solicitudes</w:t>
      </w:r>
    </w:p>
    <w:p w14:paraId="3A99F71E" w14:textId="5F301F86" w:rsidR="00F540D5" w:rsidRDefault="00AB258B">
      <w:pPr>
        <w:pStyle w:val="Standard"/>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D</w:t>
      </w:r>
      <w:r w:rsidR="00307D0A">
        <w:rPr>
          <w:rFonts w:ascii="Times New Roman" w:eastAsia="Times New Roman" w:hAnsi="Times New Roman" w:cs="Times New Roman"/>
        </w:rPr>
        <w:t>ocumento de firmas: 4</w:t>
      </w:r>
      <w:r>
        <w:rPr>
          <w:rFonts w:ascii="Times New Roman" w:eastAsia="Times New Roman" w:hAnsi="Times New Roman" w:cs="Times New Roman"/>
        </w:rPr>
        <w:t xml:space="preserve"> solicitudes</w:t>
      </w:r>
    </w:p>
    <w:p w14:paraId="2BCA9B7B" w14:textId="42B6D7B5" w:rsidR="00F540D5" w:rsidRDefault="00AB258B">
      <w:pPr>
        <w:pStyle w:val="Standard"/>
        <w:numPr>
          <w:ilvl w:val="0"/>
          <w:numId w:val="3"/>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T</w:t>
      </w:r>
      <w:r w:rsidR="00307D0A">
        <w:rPr>
          <w:rFonts w:ascii="Times New Roman" w:eastAsia="Times New Roman" w:hAnsi="Times New Roman" w:cs="Times New Roman"/>
        </w:rPr>
        <w:t>ítulo de proyecto: 1</w:t>
      </w:r>
      <w:r>
        <w:rPr>
          <w:rFonts w:ascii="Times New Roman" w:eastAsia="Times New Roman" w:hAnsi="Times New Roman" w:cs="Times New Roman"/>
        </w:rPr>
        <w:t xml:space="preserve"> solicitudes</w:t>
      </w:r>
    </w:p>
    <w:p w14:paraId="6715662F" w14:textId="77777777" w:rsidR="00F540D5" w:rsidRDefault="00307D0A">
      <w:pPr>
        <w:pStyle w:val="Standard"/>
        <w:spacing w:after="240"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5. Distribución de solicitudes según área de conocimiento</w:t>
      </w:r>
    </w:p>
    <w:tbl>
      <w:tblPr>
        <w:tblW w:w="5384" w:type="dxa"/>
        <w:jc w:val="center"/>
        <w:tblLayout w:type="fixed"/>
        <w:tblCellMar>
          <w:left w:w="10" w:type="dxa"/>
          <w:right w:w="10" w:type="dxa"/>
        </w:tblCellMar>
        <w:tblLook w:val="04A0" w:firstRow="1" w:lastRow="0" w:firstColumn="1" w:lastColumn="0" w:noHBand="0" w:noVBand="1"/>
      </w:tblPr>
      <w:tblGrid>
        <w:gridCol w:w="1982"/>
        <w:gridCol w:w="1559"/>
        <w:gridCol w:w="1843"/>
      </w:tblGrid>
      <w:tr w:rsidR="00F540D5" w14:paraId="19F4B78D" w14:textId="77777777">
        <w:trPr>
          <w:trHeight w:val="256"/>
          <w:jc w:val="center"/>
        </w:trPr>
        <w:tc>
          <w:tcPr>
            <w:tcW w:w="1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14:paraId="185417FF"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Área</w:t>
            </w:r>
          </w:p>
        </w:tc>
        <w:tc>
          <w:tcPr>
            <w:tcW w:w="155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bottom"/>
          </w:tcPr>
          <w:p w14:paraId="35E528E3"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Proyectos AC*</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B0604CF"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Proyectos DC**</w:t>
            </w:r>
          </w:p>
        </w:tc>
      </w:tr>
      <w:tr w:rsidR="00F540D5" w14:paraId="203F6EDA"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2CBA0C"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Agraria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6F74D8FD"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946A7AE"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F540D5" w14:paraId="6055F035"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20D12E4"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Básica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339EFE5D"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23D4B9D"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F540D5" w14:paraId="46A8C3E3"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752794"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Salud</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5D9857E1"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818E51F"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r>
      <w:tr w:rsidR="00F540D5" w14:paraId="3CF7B2AB"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B5ADFBA"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Social y Artística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7C675C08"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B2B7304"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r>
      <w:tr w:rsidR="00F540D5" w14:paraId="350268BB"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4C67F41"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Tecnológica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6DDB914C"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29DE7E4"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51025FB0"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B9D4B37"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Total</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16779182"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F6FB1E0"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53</w:t>
            </w:r>
          </w:p>
        </w:tc>
      </w:tr>
    </w:tbl>
    <w:p w14:paraId="711F2C79" w14:textId="77777777" w:rsidR="00F540D5" w:rsidRDefault="00307D0A">
      <w:pPr>
        <w:pStyle w:val="Standard"/>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w:t>
      </w:r>
      <w:r>
        <w:rPr>
          <w:rFonts w:ascii="Times New Roman" w:eastAsia="Times New Roman" w:hAnsi="Times New Roman" w:cs="Times New Roman"/>
          <w:bCs/>
          <w:sz w:val="20"/>
        </w:rPr>
        <w:t>Proyectos Antes de Chequeos</w:t>
      </w:r>
    </w:p>
    <w:p w14:paraId="3783E7A9" w14:textId="77777777" w:rsidR="00F540D5" w:rsidRDefault="00307D0A">
      <w:pPr>
        <w:pStyle w:val="Standard"/>
        <w:spacing w:after="240"/>
        <w:ind w:left="2040" w:firstLine="408"/>
        <w:rPr>
          <w:rFonts w:ascii="Times New Roman" w:eastAsia="Times New Roman" w:hAnsi="Times New Roman" w:cs="Times New Roman"/>
          <w:sz w:val="20"/>
          <w:szCs w:val="20"/>
        </w:rPr>
      </w:pPr>
      <w:r>
        <w:rPr>
          <w:rFonts w:ascii="Times New Roman" w:eastAsia="Times New Roman" w:hAnsi="Times New Roman" w:cs="Times New Roman"/>
          <w:sz w:val="20"/>
          <w:szCs w:val="20"/>
        </w:rPr>
        <w:t>** 3 Proyectos Después de Chequeos</w:t>
      </w:r>
    </w:p>
    <w:p w14:paraId="4D813856" w14:textId="5E144E15" w:rsidR="00F540D5" w:rsidRDefault="59A524EF">
      <w:pPr>
        <w:pStyle w:val="Standard"/>
        <w:spacing w:after="240" w:line="360" w:lineRule="auto"/>
        <w:jc w:val="both"/>
        <w:rPr>
          <w:rFonts w:ascii="Times New Roman" w:eastAsia="Times New Roman" w:hAnsi="Times New Roman" w:cs="Times New Roman"/>
        </w:rPr>
      </w:pPr>
      <w:r w:rsidRPr="59A524EF">
        <w:rPr>
          <w:rFonts w:ascii="Times New Roman" w:eastAsia="Times New Roman" w:hAnsi="Times New Roman" w:cs="Times New Roman"/>
        </w:rPr>
        <w:t>Se propuso contactar a los estudiantes responsables de l</w:t>
      </w:r>
      <w:r w:rsidR="00AB258B">
        <w:rPr>
          <w:rFonts w:ascii="Times New Roman" w:eastAsia="Times New Roman" w:hAnsi="Times New Roman" w:cs="Times New Roman"/>
        </w:rPr>
        <w:t>as</w:t>
      </w:r>
      <w:r w:rsidRPr="59A524EF">
        <w:rPr>
          <w:rFonts w:ascii="Times New Roman" w:eastAsia="Times New Roman" w:hAnsi="Times New Roman" w:cs="Times New Roman"/>
        </w:rPr>
        <w:t xml:space="preserve"> 10 </w:t>
      </w:r>
      <w:r w:rsidR="00AB258B">
        <w:rPr>
          <w:rFonts w:ascii="Times New Roman" w:eastAsia="Times New Roman" w:hAnsi="Times New Roman" w:cs="Times New Roman"/>
        </w:rPr>
        <w:t>solicitudes con deficiencias</w:t>
      </w:r>
      <w:r w:rsidRPr="59A524EF">
        <w:rPr>
          <w:rFonts w:ascii="Times New Roman" w:eastAsia="Times New Roman" w:hAnsi="Times New Roman" w:cs="Times New Roman"/>
        </w:rPr>
        <w:t xml:space="preserve"> </w:t>
      </w:r>
      <w:r w:rsidRPr="59A524EF">
        <w:rPr>
          <w:rFonts w:ascii="Times New Roman" w:eastAsia="Times New Roman" w:hAnsi="Times New Roman" w:cs="Times New Roman"/>
        </w:rPr>
        <w:lastRenderedPageBreak/>
        <w:t xml:space="preserve">administrativas y darles una semana (hasta el viernes 12 de agosto) para la entrega de la documentación. En caso de no cumplir los plazos, no ingresarían al proceso de evaluación. Todos los responsables contactados entregaron la información solicitada. De este modo, el proceso de evaluación académica inició con </w:t>
      </w:r>
      <w:r w:rsidR="00AB258B">
        <w:rPr>
          <w:rFonts w:ascii="Times New Roman" w:eastAsia="Times New Roman" w:hAnsi="Times New Roman" w:cs="Times New Roman"/>
        </w:rPr>
        <w:t>6</w:t>
      </w:r>
      <w:r w:rsidRPr="59A524EF">
        <w:rPr>
          <w:rFonts w:ascii="Times New Roman" w:eastAsia="Times New Roman" w:hAnsi="Times New Roman" w:cs="Times New Roman"/>
        </w:rPr>
        <w:t>3 proyectos.</w:t>
      </w:r>
    </w:p>
    <w:p w14:paraId="4BEDF1C7" w14:textId="77777777" w:rsidR="00F540D5" w:rsidRDefault="00307D0A">
      <w:pPr>
        <w:pStyle w:val="Ttulo1"/>
        <w:numPr>
          <w:ilvl w:val="0"/>
          <w:numId w:val="1"/>
        </w:numPr>
        <w:spacing w:after="240"/>
        <w:rPr>
          <w:rFonts w:ascii="Times New Roman" w:hAnsi="Times New Roman" w:cs="Times New Roman"/>
          <w:b/>
          <w:bCs/>
          <w:color w:val="auto"/>
          <w:sz w:val="28"/>
          <w:szCs w:val="28"/>
        </w:rPr>
      </w:pPr>
      <w:r>
        <w:rPr>
          <w:rFonts w:ascii="Times New Roman" w:hAnsi="Times New Roman" w:cs="Times New Roman"/>
          <w:b/>
          <w:bCs/>
          <w:color w:val="auto"/>
          <w:sz w:val="28"/>
          <w:szCs w:val="28"/>
        </w:rPr>
        <w:t>Proceso de evaluación</w:t>
      </w:r>
    </w:p>
    <w:p w14:paraId="7083CD23" w14:textId="13A42793" w:rsidR="00193F97" w:rsidRDefault="59A524EF">
      <w:pPr>
        <w:pStyle w:val="Standard"/>
        <w:spacing w:after="240" w:line="360" w:lineRule="auto"/>
        <w:jc w:val="both"/>
        <w:rPr>
          <w:rFonts w:ascii="Times New Roman" w:eastAsia="Times New Roman" w:hAnsi="Times New Roman" w:cs="Times New Roman"/>
        </w:rPr>
      </w:pPr>
      <w:r w:rsidRPr="59A524EF">
        <w:rPr>
          <w:rFonts w:ascii="Times New Roman" w:eastAsia="Times New Roman" w:hAnsi="Times New Roman" w:cs="Times New Roman"/>
        </w:rPr>
        <w:t xml:space="preserve">El proceso de evaluación </w:t>
      </w:r>
      <w:r w:rsidR="00AB258B">
        <w:rPr>
          <w:rFonts w:ascii="Times New Roman" w:eastAsia="Times New Roman" w:hAnsi="Times New Roman" w:cs="Times New Roman"/>
        </w:rPr>
        <w:t>estuvo organizado en subcomisiones, cuya integración se detalla en la tabla 6</w:t>
      </w:r>
      <w:r w:rsidR="00193F97">
        <w:rPr>
          <w:rFonts w:ascii="Times New Roman" w:eastAsia="Times New Roman" w:hAnsi="Times New Roman" w:cs="Times New Roman"/>
        </w:rPr>
        <w:t xml:space="preserve">. </w:t>
      </w:r>
    </w:p>
    <w:p w14:paraId="53B11EF0" w14:textId="77777777" w:rsidR="00193F97" w:rsidRDefault="00193F97" w:rsidP="00193F97">
      <w:pPr>
        <w:pStyle w:val="Standard"/>
        <w:spacing w:after="240"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6. Integrantes de las subcomisiones evaluadoras</w:t>
      </w:r>
    </w:p>
    <w:tbl>
      <w:tblPr>
        <w:tblW w:w="5961" w:type="dxa"/>
        <w:jc w:val="center"/>
        <w:tblCellMar>
          <w:left w:w="10" w:type="dxa"/>
          <w:right w:w="10" w:type="dxa"/>
        </w:tblCellMar>
        <w:tblLook w:val="04A0" w:firstRow="1" w:lastRow="0" w:firstColumn="1" w:lastColumn="0" w:noHBand="0" w:noVBand="1"/>
      </w:tblPr>
      <w:tblGrid>
        <w:gridCol w:w="1770"/>
        <w:gridCol w:w="4191"/>
      </w:tblGrid>
      <w:tr w:rsidR="00193F97" w14:paraId="7B1E1079"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AD5C" w14:textId="77777777" w:rsidR="00193F97" w:rsidRDefault="00193F97" w:rsidP="00090DF3">
            <w:pPr>
              <w:pStyle w:val="Standard"/>
              <w:spacing w:line="251"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Área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389E7" w14:textId="77777777" w:rsidR="00193F97" w:rsidRDefault="00193F97" w:rsidP="00090DF3">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Integrantes</w:t>
            </w:r>
          </w:p>
        </w:tc>
      </w:tr>
      <w:tr w:rsidR="00193F97" w14:paraId="290EA6BB"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ADC94" w14:textId="77777777" w:rsidR="00193F97" w:rsidRDefault="00193F97" w:rsidP="00090DF3">
            <w:pPr>
              <w:pStyle w:val="Standard"/>
              <w:spacing w:line="360" w:lineRule="auto"/>
              <w:jc w:val="both"/>
              <w:rPr>
                <w:rFonts w:ascii="Times New Roman" w:eastAsia="Times New Roman" w:hAnsi="Times New Roman" w:cs="Times New Roman"/>
                <w:sz w:val="22"/>
                <w:szCs w:val="22"/>
              </w:rPr>
            </w:pPr>
          </w:p>
          <w:p w14:paraId="5D9D05E3" w14:textId="77777777" w:rsidR="00193F97" w:rsidRDefault="00193F97" w:rsidP="00090DF3">
            <w:pPr>
              <w:pStyle w:val="Standard"/>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Agraria*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B36C" w14:textId="511EA537" w:rsidR="00193F97" w:rsidRDefault="00193F97"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Santiago Baeza</w:t>
            </w:r>
          </w:p>
          <w:p w14:paraId="1FB501DA" w14:textId="247EC2D4" w:rsidR="00AA4FEA" w:rsidRDefault="00AA4FEA"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Ivanna Bollazzi </w:t>
            </w:r>
          </w:p>
          <w:p w14:paraId="2E051496" w14:textId="7FE62C0D" w:rsidR="00AA4FEA" w:rsidRDefault="00AA4FEA"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Aldo Calliari </w:t>
            </w:r>
          </w:p>
          <w:p w14:paraId="18AB2DE6" w14:textId="77777777" w:rsidR="00193F97" w:rsidRDefault="00193F97"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Paola Gaiero</w:t>
            </w:r>
          </w:p>
          <w:p w14:paraId="7A0C872D" w14:textId="77777777" w:rsidR="00193F97" w:rsidRDefault="00193F97"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Carolina Fiol</w:t>
            </w:r>
          </w:p>
          <w:p w14:paraId="3CAF3846" w14:textId="77777777" w:rsidR="00193F97" w:rsidRDefault="00193F97" w:rsidP="00090DF3">
            <w:pPr>
              <w:pStyle w:val="Standard"/>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María Alejandra Terevinto</w:t>
            </w:r>
          </w:p>
        </w:tc>
      </w:tr>
      <w:tr w:rsidR="00193F97" w14:paraId="2209909B"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0A7C" w14:textId="77777777" w:rsidR="00193F97" w:rsidRDefault="00193F97" w:rsidP="00090DF3">
            <w:pPr>
              <w:pStyle w:val="Standard"/>
              <w:rPr>
                <w:rFonts w:ascii="Times New Roman" w:eastAsia="Times New Roman" w:hAnsi="Times New Roman" w:cs="Times New Roman"/>
                <w:sz w:val="22"/>
                <w:szCs w:val="22"/>
                <w:lang w:val="es-ES"/>
              </w:rPr>
            </w:pPr>
          </w:p>
          <w:p w14:paraId="6BE1F383" w14:textId="77777777" w:rsidR="00193F97" w:rsidRDefault="00193F97" w:rsidP="00090DF3">
            <w:pPr>
              <w:pStyle w:val="Standard"/>
              <w:rPr>
                <w:rFonts w:ascii="Times New Roman" w:eastAsia="Times New Roman" w:hAnsi="Times New Roman" w:cs="Times New Roman"/>
                <w:sz w:val="22"/>
                <w:szCs w:val="22"/>
                <w:lang w:val="es-ES"/>
              </w:rPr>
            </w:pPr>
          </w:p>
          <w:p w14:paraId="5647D8D5" w14:textId="77777777" w:rsidR="00193F97" w:rsidRDefault="00193F97" w:rsidP="00090DF3">
            <w:pPr>
              <w:pStyle w:val="Standard"/>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Básica**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411E" w14:textId="77777777"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Cecilia Alonso</w:t>
            </w:r>
          </w:p>
          <w:p w14:paraId="42F306B8" w14:textId="00559BF6"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Juan Herández</w:t>
            </w:r>
          </w:p>
          <w:p w14:paraId="222A3182" w14:textId="13BB341D"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Alvaro Rittatore</w:t>
            </w:r>
          </w:p>
          <w:p w14:paraId="0958783E" w14:textId="26ABA6C9"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Franco Teixeira </w:t>
            </w:r>
          </w:p>
        </w:tc>
      </w:tr>
      <w:tr w:rsidR="00193F97" w14:paraId="3881847C"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58FB" w14:textId="77777777" w:rsidR="00193F97" w:rsidRDefault="00193F97" w:rsidP="00090DF3">
            <w:pPr>
              <w:pStyle w:val="Standard"/>
              <w:spacing w:line="360" w:lineRule="auto"/>
              <w:jc w:val="both"/>
              <w:rPr>
                <w:rFonts w:ascii="Times New Roman" w:eastAsia="Times New Roman" w:hAnsi="Times New Roman" w:cs="Times New Roman"/>
                <w:sz w:val="22"/>
                <w:szCs w:val="22"/>
              </w:rPr>
            </w:pPr>
          </w:p>
          <w:p w14:paraId="094B8AC0" w14:textId="77777777" w:rsidR="00193F97" w:rsidRDefault="00193F97" w:rsidP="00090DF3">
            <w:pPr>
              <w:pStyle w:val="Standard"/>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Salud***</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FD4E8" w14:textId="0682B387"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Verónica Beovide </w:t>
            </w:r>
          </w:p>
          <w:p w14:paraId="4CD25E5E" w14:textId="7C052DED"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Rossana Blanco Falero </w:t>
            </w:r>
          </w:p>
          <w:p w14:paraId="7EBB2AA2" w14:textId="6D5F7A5E"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Javier Noble</w:t>
            </w:r>
          </w:p>
          <w:p w14:paraId="32169B01" w14:textId="159E8E06"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Paula Pouso </w:t>
            </w:r>
          </w:p>
          <w:p w14:paraId="7D9AD8F1" w14:textId="214CAD3C"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Andrea Princisgh</w:t>
            </w:r>
          </w:p>
        </w:tc>
      </w:tr>
      <w:tr w:rsidR="00193F97" w14:paraId="2649F2D9"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4CB5" w14:textId="77777777" w:rsidR="00193F97" w:rsidRDefault="00193F97" w:rsidP="00090DF3">
            <w:pPr>
              <w:pStyle w:val="Standard"/>
              <w:spacing w:line="360" w:lineRule="auto"/>
              <w:jc w:val="both"/>
              <w:rPr>
                <w:rFonts w:ascii="Times New Roman" w:eastAsia="Times New Roman" w:hAnsi="Times New Roman" w:cs="Times New Roman"/>
                <w:sz w:val="22"/>
                <w:szCs w:val="22"/>
              </w:rPr>
            </w:pPr>
          </w:p>
          <w:p w14:paraId="14BF966C" w14:textId="77777777" w:rsidR="00193F97" w:rsidRDefault="00193F97" w:rsidP="00090DF3">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Social y Artística****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C603" w14:textId="2283BAE6"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Andrés Blanco</w:t>
            </w:r>
          </w:p>
          <w:p w14:paraId="32A5C1E7" w14:textId="5D04D254"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Ana Egaña </w:t>
            </w:r>
          </w:p>
          <w:p w14:paraId="1D05C812" w14:textId="01D90F11" w:rsidR="00AA4FEA" w:rsidRDefault="00AA4FEA"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Ignacio Estevan</w:t>
            </w:r>
          </w:p>
          <w:p w14:paraId="2DD6D8DA" w14:textId="7F23BF50"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Paula Giuria</w:t>
            </w:r>
          </w:p>
        </w:tc>
      </w:tr>
      <w:tr w:rsidR="00193F97" w14:paraId="6EE4AFF8" w14:textId="77777777" w:rsidTr="00090DF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2587" w14:textId="77777777" w:rsidR="00193F97" w:rsidRDefault="00193F97" w:rsidP="00090DF3">
            <w:pPr>
              <w:pStyle w:val="Standard"/>
              <w:spacing w:line="360" w:lineRule="auto"/>
              <w:jc w:val="both"/>
              <w:rPr>
                <w:rFonts w:ascii="Times New Roman" w:eastAsia="Times New Roman" w:hAnsi="Times New Roman" w:cs="Times New Roman"/>
                <w:sz w:val="22"/>
                <w:szCs w:val="22"/>
              </w:rPr>
            </w:pPr>
          </w:p>
          <w:p w14:paraId="670A9CCF" w14:textId="77777777" w:rsidR="00193F97" w:rsidRDefault="00193F97" w:rsidP="00090DF3">
            <w:pPr>
              <w:pStyle w:val="Standard"/>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Tecnológica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F7BC" w14:textId="77777777" w:rsidR="00193F97" w:rsidRDefault="00193F97" w:rsidP="00090DF3">
            <w:pPr>
              <w:pStyle w:val="Standard"/>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Mónica Farkas </w:t>
            </w:r>
          </w:p>
          <w:p w14:paraId="385983D5" w14:textId="2FD22AD0" w:rsidR="00AA4FEA" w:rsidRDefault="00AA4FEA" w:rsidP="00090DF3">
            <w:pPr>
              <w:pStyle w:val="Standard"/>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Gregory Randall</w:t>
            </w:r>
          </w:p>
          <w:p w14:paraId="62BEB0F3" w14:textId="79EA9B6C" w:rsidR="00193F97" w:rsidRDefault="00193F97" w:rsidP="00090DF3">
            <w:pPr>
              <w:pStyle w:val="Standard"/>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Rossana Sommaruga </w:t>
            </w:r>
          </w:p>
          <w:p w14:paraId="48974952" w14:textId="77777777" w:rsidR="00193F97" w:rsidRDefault="00193F97" w:rsidP="00090DF3">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Leticia Vidal </w:t>
            </w:r>
          </w:p>
        </w:tc>
      </w:tr>
    </w:tbl>
    <w:p w14:paraId="563FAD7C" w14:textId="77777777" w:rsidR="00193F97" w:rsidRDefault="00193F97" w:rsidP="00193F97">
      <w:pPr>
        <w:pStyle w:val="Standard"/>
      </w:pP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Contó con el apoyo de Horacio Silva</w:t>
      </w:r>
    </w:p>
    <w:p w14:paraId="63EF5991" w14:textId="77777777" w:rsidR="00193F97" w:rsidRDefault="00193F97" w:rsidP="00193F97">
      <w:pPr>
        <w:pStyle w:val="Standard"/>
      </w:pPr>
      <w:r>
        <w:rPr>
          <w:rFonts w:ascii="Times New Roman" w:eastAsia="Times New Roman" w:hAnsi="Times New Roman" w:cs="Times New Roman"/>
          <w:color w:val="000000"/>
          <w:sz w:val="20"/>
          <w:szCs w:val="20"/>
        </w:rPr>
        <w:t xml:space="preserve">** Contó con el apoyo de: </w:t>
      </w:r>
      <w:r>
        <w:rPr>
          <w:rFonts w:ascii="Times New Roman" w:eastAsia="Times New Roman" w:hAnsi="Times New Roman" w:cs="Times New Roman"/>
          <w:sz w:val="20"/>
          <w:szCs w:val="20"/>
        </w:rPr>
        <w:t>Wilner Martínez, Ana Marandino, Andrés González, Gonzalo Greif, Leticia González y Andrés Pérez Parada</w:t>
      </w:r>
    </w:p>
    <w:p w14:paraId="704C029D" w14:textId="77777777" w:rsidR="00193F97" w:rsidRDefault="00193F97" w:rsidP="00193F97">
      <w:pPr>
        <w:pStyle w:val="Standard"/>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Contó con el apoyo de: Gustavo Brum, Paola Silva, Ignacio Estevan, Mauricio Cabrera y Fernando López Tort </w:t>
      </w:r>
    </w:p>
    <w:p w14:paraId="1B8EE342" w14:textId="2F0D334D" w:rsidR="00193F97" w:rsidRDefault="00193F97" w:rsidP="00193F97">
      <w:pPr>
        <w:pStyle w:val="Standard"/>
        <w:spacing w:after="240" w:line="360" w:lineRule="auto"/>
        <w:jc w:val="both"/>
        <w:rPr>
          <w:rFonts w:ascii="Times New Roman" w:eastAsia="Times New Roman" w:hAnsi="Times New Roman" w:cs="Times New Roman"/>
        </w:rPr>
      </w:pPr>
      <w:r>
        <w:rPr>
          <w:rFonts w:ascii="Times New Roman" w:eastAsia="Times New Roman" w:hAnsi="Times New Roman" w:cs="Times New Roman"/>
          <w:sz w:val="20"/>
          <w:szCs w:val="20"/>
        </w:rPr>
        <w:t>**** Contó con el apoyo de: Bruno Mora, Ronald Teliz, Nicolás Rodríguez, Federico Beltramelli y Rafael Suárez</w:t>
      </w:r>
    </w:p>
    <w:p w14:paraId="1960CF8B" w14:textId="6B56D510" w:rsidR="00F540D5" w:rsidRDefault="00193F97">
      <w:pPr>
        <w:pStyle w:val="Standard"/>
        <w:spacing w:after="240" w:line="360" w:lineRule="auto"/>
        <w:jc w:val="both"/>
        <w:rPr>
          <w:rFonts w:ascii="Times New Roman" w:eastAsia="Times New Roman" w:hAnsi="Times New Roman" w:cs="Times New Roman"/>
        </w:rPr>
      </w:pPr>
      <w:r>
        <w:rPr>
          <w:rFonts w:ascii="Times New Roman" w:eastAsia="Times New Roman" w:hAnsi="Times New Roman" w:cs="Times New Roman"/>
        </w:rPr>
        <w:t>De acuerdo a lo que</w:t>
      </w:r>
      <w:r w:rsidR="59A524EF" w:rsidRPr="59A524EF">
        <w:rPr>
          <w:rFonts w:ascii="Times New Roman" w:eastAsia="Times New Roman" w:hAnsi="Times New Roman" w:cs="Times New Roman"/>
        </w:rPr>
        <w:t xml:space="preserve"> se establece en las bases, </w:t>
      </w:r>
      <w:r>
        <w:rPr>
          <w:rFonts w:ascii="Times New Roman" w:eastAsia="Times New Roman" w:hAnsi="Times New Roman" w:cs="Times New Roman"/>
        </w:rPr>
        <w:t xml:space="preserve">el proceso de evaluación </w:t>
      </w:r>
      <w:r w:rsidR="59A524EF" w:rsidRPr="59A524EF">
        <w:rPr>
          <w:rFonts w:ascii="Times New Roman" w:eastAsia="Times New Roman" w:hAnsi="Times New Roman" w:cs="Times New Roman"/>
        </w:rPr>
        <w:t>consta de dos etapas. La primea, que se extendió entre los meses de agosto y setiembre de 2022, clasificó a las propuestas presentadas en las siguientes categorías:</w:t>
      </w:r>
    </w:p>
    <w:p w14:paraId="584EE8C2" w14:textId="77777777" w:rsidR="00F540D5" w:rsidRDefault="00307D0A">
      <w:pPr>
        <w:pStyle w:val="Standard"/>
        <w:numPr>
          <w:ilvl w:val="0"/>
          <w:numId w:val="4"/>
        </w:numPr>
        <w:spacing w:before="57" w:after="57" w:line="360" w:lineRule="auto"/>
        <w:jc w:val="both"/>
        <w:rPr>
          <w:rFonts w:ascii="Times New Roman" w:eastAsia="Times New Roman" w:hAnsi="Times New Roman" w:cs="Times New Roman"/>
        </w:rPr>
      </w:pPr>
      <w:r>
        <w:rPr>
          <w:rFonts w:ascii="Times New Roman" w:eastAsia="Times New Roman" w:hAnsi="Times New Roman" w:cs="Times New Roman"/>
        </w:rPr>
        <w:t>Categoría A: cuando no tenían observaciones importantes sobre su desarrollo ni sobre los recursos solicitados, pudiendo por tanto ponerse en marcha sin modificaciones una vez realizados los traspasos económicos en abril de 2023;</w:t>
      </w:r>
    </w:p>
    <w:p w14:paraId="6E9B9C17" w14:textId="77777777" w:rsidR="00F540D5" w:rsidRDefault="00307D0A">
      <w:pPr>
        <w:pStyle w:val="Standard"/>
        <w:numPr>
          <w:ilvl w:val="0"/>
          <w:numId w:val="4"/>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Categoría B: cuando los evaluadores realizan sugerencias importantes, requiriéndose una </w:t>
      </w:r>
      <w:r>
        <w:rPr>
          <w:rFonts w:ascii="Times New Roman" w:eastAsia="Times New Roman" w:hAnsi="Times New Roman" w:cs="Times New Roman"/>
        </w:rPr>
        <w:lastRenderedPageBreak/>
        <w:t>reformulación en materia de contenidos académicos o en los fondos solicitados;</w:t>
      </w:r>
    </w:p>
    <w:p w14:paraId="78EC61FC" w14:textId="77777777" w:rsidR="00F540D5" w:rsidRDefault="00307D0A">
      <w:pPr>
        <w:pStyle w:val="Standard"/>
        <w:numPr>
          <w:ilvl w:val="0"/>
          <w:numId w:val="4"/>
        </w:numPr>
        <w:spacing w:before="114" w:after="114" w:line="360" w:lineRule="auto"/>
        <w:jc w:val="both"/>
        <w:rPr>
          <w:rFonts w:ascii="Times New Roman" w:eastAsia="Times New Roman" w:hAnsi="Times New Roman" w:cs="Times New Roman"/>
        </w:rPr>
      </w:pPr>
      <w:r>
        <w:rPr>
          <w:rFonts w:ascii="Times New Roman" w:eastAsia="Times New Roman" w:hAnsi="Times New Roman" w:cs="Times New Roman"/>
        </w:rPr>
        <w:t>No aprobado: cuando los evaluadores consideraban que el proyecto entregado no presentaba la definición de algunos aspectos medulares que debilitaban considerablemente la propuesta.</w:t>
      </w:r>
    </w:p>
    <w:p w14:paraId="09B310E0" w14:textId="7D38AFB5" w:rsidR="00F540D5" w:rsidRPr="00193F97" w:rsidRDefault="00307D0A" w:rsidP="00193F97">
      <w:pPr>
        <w:pStyle w:val="Standard"/>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Los puntos evaluados fueron: i. fundamentación de la propuesta; ii. definición adecuada del objeto de estudio; iii. viabilidad de los objetivos planteados y de cumplimiento en los plazos y con los montos previstos; iv. claridad de la exposición de la metodología a aplicar; v. adecuación de la bibliografía; vi. escolaridad del conjunto del equipo de trabajo. Cada punto fue acompañado de un juicio cualitativo donde los evaluadores brindaron apreciaciones sobre el proyecto, así como herramientas para la mejora de la propuesta. La evaluación estuvo organizada en subcomisiones evaluadoras, cuya integración se detalla en la Tabla 6.</w:t>
      </w:r>
    </w:p>
    <w:p w14:paraId="240F04CB" w14:textId="1FEDC4ED" w:rsidR="00F540D5" w:rsidRDefault="00307D0A">
      <w:pPr>
        <w:pStyle w:val="Standard"/>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De la primera fase de la evaluación resultó que 35 proyectos fueron catalogados en </w:t>
      </w:r>
      <w:r w:rsidR="00193F97">
        <w:rPr>
          <w:rFonts w:ascii="Times New Roman" w:eastAsia="Times New Roman" w:hAnsi="Times New Roman" w:cs="Times New Roman"/>
        </w:rPr>
        <w:t>C</w:t>
      </w:r>
      <w:r>
        <w:rPr>
          <w:rFonts w:ascii="Times New Roman" w:eastAsia="Times New Roman" w:hAnsi="Times New Roman" w:cs="Times New Roman"/>
        </w:rPr>
        <w:t xml:space="preserve">ategoría A y 28 en </w:t>
      </w:r>
      <w:r w:rsidR="00193F97">
        <w:rPr>
          <w:rFonts w:ascii="Times New Roman" w:eastAsia="Times New Roman" w:hAnsi="Times New Roman" w:cs="Times New Roman"/>
        </w:rPr>
        <w:t>C</w:t>
      </w:r>
      <w:r>
        <w:rPr>
          <w:rFonts w:ascii="Times New Roman" w:eastAsia="Times New Roman" w:hAnsi="Times New Roman" w:cs="Times New Roman"/>
        </w:rPr>
        <w:t xml:space="preserve">ategoría B, tal como se detalla en la tabla 7. Estos últimos tuvieron un mes, </w:t>
      </w:r>
      <w:r w:rsidR="00193F97">
        <w:rPr>
          <w:rFonts w:ascii="Times New Roman" w:eastAsia="Times New Roman" w:hAnsi="Times New Roman" w:cs="Times New Roman"/>
        </w:rPr>
        <w:t>durante</w:t>
      </w:r>
      <w:r>
        <w:rPr>
          <w:rFonts w:ascii="Times New Roman" w:eastAsia="Times New Roman" w:hAnsi="Times New Roman" w:cs="Times New Roman"/>
        </w:rPr>
        <w:t xml:space="preserve"> octubre para la elaboración y entrega de las reformulaciones. La distribución de los 63 proyectos aprobados corresponde a 55,6% en Categoría A y 44,4% en Categoría B.</w:t>
      </w:r>
    </w:p>
    <w:p w14:paraId="765CABDA" w14:textId="77777777" w:rsidR="00F540D5" w:rsidRDefault="00307D0A">
      <w:pPr>
        <w:pStyle w:val="Standard"/>
        <w:spacing w:after="240"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7. Primera fase de la evaluación</w:t>
      </w:r>
    </w:p>
    <w:tbl>
      <w:tblPr>
        <w:tblW w:w="7227" w:type="dxa"/>
        <w:jc w:val="center"/>
        <w:tblLayout w:type="fixed"/>
        <w:tblCellMar>
          <w:left w:w="10" w:type="dxa"/>
          <w:right w:w="10" w:type="dxa"/>
        </w:tblCellMar>
        <w:tblLook w:val="04A0" w:firstRow="1" w:lastRow="0" w:firstColumn="1" w:lastColumn="0" w:noHBand="0" w:noVBand="1"/>
      </w:tblPr>
      <w:tblGrid>
        <w:gridCol w:w="1982"/>
        <w:gridCol w:w="1559"/>
        <w:gridCol w:w="1843"/>
        <w:gridCol w:w="1843"/>
      </w:tblGrid>
      <w:tr w:rsidR="00F540D5" w14:paraId="5AC460FC" w14:textId="77777777">
        <w:trPr>
          <w:trHeight w:val="256"/>
          <w:jc w:val="center"/>
        </w:trPr>
        <w:tc>
          <w:tcPr>
            <w:tcW w:w="1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A7A0FCA" w14:textId="77777777" w:rsidR="00F540D5" w:rsidRDefault="00307D0A" w:rsidP="00193F97">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Área</w:t>
            </w:r>
          </w:p>
        </w:tc>
        <w:tc>
          <w:tcPr>
            <w:tcW w:w="155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74B8625" w14:textId="250CDA9D" w:rsidR="00F540D5" w:rsidRDefault="00307D0A" w:rsidP="00193F97">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Proyectos</w:t>
            </w:r>
            <w:r w:rsidR="00193F97">
              <w:rPr>
                <w:rFonts w:ascii="Times New Roman" w:eastAsia="Times New Roman" w:hAnsi="Times New Roman" w:cs="Times New Roman"/>
                <w:b/>
                <w:bCs/>
                <w:sz w:val="22"/>
                <w:szCs w:val="22"/>
              </w:rPr>
              <w:t xml:space="preserve"> presentados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16D17B" w14:textId="11C87B58" w:rsidR="00F540D5" w:rsidRDefault="00193F97" w:rsidP="00193F97">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Proyectos en Categoría </w:t>
            </w:r>
            <w:r w:rsidR="00307D0A">
              <w:rPr>
                <w:rFonts w:ascii="Times New Roman" w:eastAsia="Times New Roman" w:hAnsi="Times New Roman" w:cs="Times New Roman"/>
                <w:b/>
                <w:bCs/>
                <w:sz w:val="22"/>
                <w:szCs w:val="22"/>
              </w:rPr>
              <w:t>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1ED4E73" w14:textId="43C474EA" w:rsidR="00F540D5" w:rsidRDefault="00193F97" w:rsidP="00193F97">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Proyectos en Categoría </w:t>
            </w:r>
            <w:r w:rsidR="00307D0A">
              <w:rPr>
                <w:rFonts w:ascii="Times New Roman" w:eastAsia="Times New Roman" w:hAnsi="Times New Roman" w:cs="Times New Roman"/>
                <w:b/>
                <w:bCs/>
                <w:sz w:val="22"/>
                <w:szCs w:val="22"/>
              </w:rPr>
              <w:t>B</w:t>
            </w:r>
          </w:p>
        </w:tc>
      </w:tr>
      <w:tr w:rsidR="00F540D5" w14:paraId="7A0C3138"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E1D353E"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Agraria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28AF3A15"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D9A48CF"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49FAAB8"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F540D5" w14:paraId="35E9AB50"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BEC5130"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Básica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519C40FF"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737E36C"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0ADF7A"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626199A9"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031920"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Salud</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7D34F29C"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35DA4F4"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1F3359E"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F540D5" w14:paraId="1A0F68AB"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9E4A226"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Social y Artística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69456573"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AA1B773"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D369756"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F540D5" w14:paraId="00F8B43A"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2048644"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Tecnológica</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1D3DECFD"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9F14E3C"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648C29"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55215DD0"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45114B6"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Total</w:t>
            </w:r>
          </w:p>
        </w:tc>
        <w:tc>
          <w:tcPr>
            <w:tcW w:w="1559" w:type="dxa"/>
            <w:tcBorders>
              <w:left w:val="single" w:sz="2" w:space="0" w:color="000000"/>
              <w:bottom w:val="single" w:sz="2" w:space="0" w:color="000000"/>
            </w:tcBorders>
            <w:shd w:val="clear" w:color="auto" w:fill="auto"/>
            <w:tcMar>
              <w:top w:w="0" w:type="dxa"/>
              <w:left w:w="10" w:type="dxa"/>
              <w:bottom w:w="0" w:type="dxa"/>
              <w:right w:w="10" w:type="dxa"/>
            </w:tcMar>
            <w:vAlign w:val="bottom"/>
          </w:tcPr>
          <w:p w14:paraId="415A7F0D"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D5C510C"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35</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0768756"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28</w:t>
            </w:r>
          </w:p>
        </w:tc>
      </w:tr>
    </w:tbl>
    <w:p w14:paraId="028F5C0A" w14:textId="5B85F4AE" w:rsidR="00F540D5" w:rsidRDefault="00307D0A">
      <w:pPr>
        <w:pStyle w:val="Standard"/>
        <w:spacing w:before="240" w:after="240" w:line="360" w:lineRule="auto"/>
        <w:jc w:val="both"/>
      </w:pPr>
      <w:r>
        <w:rPr>
          <w:rFonts w:ascii="Times New Roman" w:eastAsia="Times New Roman" w:hAnsi="Times New Roman" w:cs="Times New Roman"/>
        </w:rPr>
        <w:t xml:space="preserve">La segunda etapa de la evaluación se extendió entre el 1 y 29 de noviembre de 2022. En esta oportunidad, los evaluadores analizaron las reformulaciones de los proyectos agrupados en la Categoría B. </w:t>
      </w:r>
      <w:r w:rsidR="00193F97">
        <w:rPr>
          <w:rFonts w:ascii="Times New Roman" w:eastAsia="Times New Roman" w:hAnsi="Times New Roman" w:cs="Times New Roman"/>
        </w:rPr>
        <w:t xml:space="preserve">Como resultado del análisis </w:t>
      </w:r>
      <w:r>
        <w:rPr>
          <w:rFonts w:ascii="Times New Roman" w:eastAsia="Times New Roman" w:hAnsi="Times New Roman" w:cs="Times New Roman"/>
        </w:rPr>
        <w:t>fueron aceptadas 26 de las 28 propuestas reformuladas.</w:t>
      </w:r>
      <w:r>
        <w:t xml:space="preserve">  </w:t>
      </w:r>
    </w:p>
    <w:p w14:paraId="3CFF6041" w14:textId="77777777" w:rsidR="00F540D5" w:rsidRDefault="00307D0A">
      <w:pPr>
        <w:pStyle w:val="Standard"/>
        <w:spacing w:before="240" w:after="240"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8. Segunda fase de la evaluación</w:t>
      </w:r>
    </w:p>
    <w:tbl>
      <w:tblPr>
        <w:tblW w:w="5668" w:type="dxa"/>
        <w:jc w:val="center"/>
        <w:tblCellMar>
          <w:left w:w="10" w:type="dxa"/>
          <w:right w:w="10" w:type="dxa"/>
        </w:tblCellMar>
        <w:tblLook w:val="04A0" w:firstRow="1" w:lastRow="0" w:firstColumn="1" w:lastColumn="0" w:noHBand="0" w:noVBand="1"/>
      </w:tblPr>
      <w:tblGrid>
        <w:gridCol w:w="1982"/>
        <w:gridCol w:w="1843"/>
        <w:gridCol w:w="1843"/>
      </w:tblGrid>
      <w:tr w:rsidR="00F540D5" w14:paraId="4D3120D8" w14:textId="77777777">
        <w:trPr>
          <w:trHeight w:val="256"/>
          <w:jc w:val="center"/>
        </w:trPr>
        <w:tc>
          <w:tcPr>
            <w:tcW w:w="1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DCFD50E" w14:textId="77777777" w:rsidR="00F540D5" w:rsidRDefault="00307D0A">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Área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D32A6AB" w14:textId="0CFC2E09" w:rsidR="00F540D5" w:rsidRDefault="00307D0A">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Proyectos en </w:t>
            </w:r>
            <w:r w:rsidR="00193F97">
              <w:rPr>
                <w:rFonts w:ascii="Times New Roman" w:eastAsia="Times New Roman" w:hAnsi="Times New Roman" w:cs="Times New Roman"/>
                <w:b/>
                <w:bCs/>
                <w:sz w:val="22"/>
                <w:szCs w:val="22"/>
              </w:rPr>
              <w:t>C</w:t>
            </w:r>
            <w:r>
              <w:rPr>
                <w:rFonts w:ascii="Times New Roman" w:eastAsia="Times New Roman" w:hAnsi="Times New Roman" w:cs="Times New Roman"/>
                <w:b/>
                <w:bCs/>
                <w:sz w:val="22"/>
                <w:szCs w:val="22"/>
              </w:rPr>
              <w:t>ategoría B</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716E63D" w14:textId="77777777" w:rsidR="00F540D5" w:rsidRDefault="00307D0A">
            <w:pPr>
              <w:pStyle w:val="Standard"/>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Evaluación de reformulación</w:t>
            </w:r>
          </w:p>
        </w:tc>
      </w:tr>
      <w:tr w:rsidR="00F540D5" w14:paraId="4AAF6600"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428C6CB"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Agraria</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65D2414"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E32D521"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F540D5" w14:paraId="47A33E8A"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6B4BAB"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Básica</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4C3CC76"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90736E"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4ED0FCC5"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AC8750C"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Salud</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87031A"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CBA1243"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F540D5" w14:paraId="104BE2E4"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0D354D"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Social y Artística</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46DE71A"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89009E4"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r>
      <w:tr w:rsidR="00F540D5" w14:paraId="07F483F5"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AAEE47" w14:textId="77777777" w:rsidR="00F540D5" w:rsidRDefault="00307D0A">
            <w:pPr>
              <w:pStyle w:val="Standard"/>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Tecnológica</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95C1E81"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E6894D6" w14:textId="77777777" w:rsidR="00F540D5" w:rsidRDefault="00307D0A">
            <w:pPr>
              <w:pStyle w:val="Standar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F540D5" w14:paraId="674B1A31" w14:textId="77777777">
        <w:trPr>
          <w:trHeight w:val="256"/>
          <w:jc w:val="center"/>
        </w:trPr>
        <w:tc>
          <w:tcPr>
            <w:tcW w:w="1982"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E746F62" w14:textId="77777777" w:rsidR="00F540D5" w:rsidRDefault="00307D0A">
            <w:pPr>
              <w:pStyle w:val="Standard"/>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Total</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09C677"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28</w:t>
            </w:r>
          </w:p>
        </w:tc>
        <w:tc>
          <w:tcPr>
            <w:tcW w:w="184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334656" w14:textId="77777777" w:rsidR="00F540D5" w:rsidRDefault="00307D0A">
            <w:pPr>
              <w:pStyle w:val="Standard"/>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26</w:t>
            </w:r>
          </w:p>
        </w:tc>
      </w:tr>
    </w:tbl>
    <w:p w14:paraId="45FB0818" w14:textId="77777777" w:rsidR="00F540D5" w:rsidRDefault="00F540D5">
      <w:pPr>
        <w:pStyle w:val="Standard"/>
        <w:spacing w:before="57" w:after="57" w:line="360" w:lineRule="auto"/>
        <w:jc w:val="both"/>
        <w:rPr>
          <w:rFonts w:ascii="Times New Roman" w:eastAsia="Times New Roman" w:hAnsi="Times New Roman" w:cs="Times New Roman"/>
        </w:rPr>
      </w:pPr>
    </w:p>
    <w:p w14:paraId="2A6551F9" w14:textId="77777777" w:rsidR="00F540D5" w:rsidRDefault="00307D0A">
      <w:pPr>
        <w:pStyle w:val="Standard"/>
        <w:spacing w:before="57" w:after="57" w:line="360" w:lineRule="auto"/>
        <w:jc w:val="both"/>
      </w:pPr>
      <w:r>
        <w:rPr>
          <w:rFonts w:ascii="Times New Roman" w:eastAsia="Times New Roman" w:hAnsi="Times New Roman" w:cs="Times New Roman"/>
        </w:rPr>
        <w:t>De los 28 proyectos que pasaron a fase de reformulación, 26 obtuvieron una aprobación y 2 no fueron aprobados. De este modo, se propone apoyar 61 proyectos por una suma de $u 1.609.186. Es relevante tener en cuenta que el Programa también prevé un apoyo para compras bibliográficas de $u 4.000 por docente orientador, independientemente del número de proyectos orientados. El monto destinado a los 61 docentes orientadores es de $u 244.000.</w:t>
      </w:r>
      <w:r>
        <w:rPr>
          <w:rFonts w:ascii="Times New Roman" w:eastAsia="Times New Roman" w:hAnsi="Times New Roman" w:cs="Times New Roman"/>
          <w:color w:val="000000"/>
        </w:rPr>
        <w:t xml:space="preserve"> En total, el Programa involucra $u 1.853.186</w:t>
      </w:r>
      <w:r>
        <w:rPr>
          <w:rFonts w:ascii="Times New Roman" w:eastAsia="Times New Roman" w:hAnsi="Times New Roman" w:cs="Times New Roman"/>
        </w:rPr>
        <w:t xml:space="preserve">. </w:t>
      </w:r>
    </w:p>
    <w:p w14:paraId="5D4592E1" w14:textId="0B575634" w:rsidR="00F540D5" w:rsidRDefault="00307D0A">
      <w:pPr>
        <w:pStyle w:val="Ttulo1"/>
        <w:numPr>
          <w:ilvl w:val="0"/>
          <w:numId w:val="1"/>
        </w:numPr>
        <w:spacing w:after="24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Datos generales de los proyectos </w:t>
      </w:r>
      <w:r w:rsidR="00193F97">
        <w:rPr>
          <w:rFonts w:ascii="Times New Roman" w:hAnsi="Times New Roman" w:cs="Times New Roman"/>
          <w:b/>
          <w:bCs/>
          <w:color w:val="auto"/>
          <w:sz w:val="28"/>
          <w:szCs w:val="28"/>
        </w:rPr>
        <w:t xml:space="preserve">recomendados </w:t>
      </w:r>
      <w:r>
        <w:rPr>
          <w:rFonts w:ascii="Times New Roman" w:hAnsi="Times New Roman" w:cs="Times New Roman"/>
          <w:b/>
          <w:bCs/>
          <w:color w:val="auto"/>
          <w:sz w:val="28"/>
          <w:szCs w:val="28"/>
        </w:rPr>
        <w:t>a financiar</w:t>
      </w:r>
    </w:p>
    <w:p w14:paraId="68E24AB4" w14:textId="4E31541A" w:rsidR="00F540D5" w:rsidRDefault="00307D0A">
      <w:pPr>
        <w:pStyle w:val="Standard"/>
        <w:spacing w:before="57" w:after="57" w:line="360" w:lineRule="auto"/>
        <w:jc w:val="both"/>
        <w:rPr>
          <w:rFonts w:ascii="Times New Roman" w:eastAsia="Times New Roman" w:hAnsi="Times New Roman" w:cs="Times New Roman"/>
        </w:rPr>
      </w:pPr>
      <w:r>
        <w:rPr>
          <w:rFonts w:ascii="Times New Roman" w:eastAsia="Times New Roman" w:hAnsi="Times New Roman" w:cs="Times New Roman"/>
        </w:rPr>
        <w:t xml:space="preserve">A continuación, se muestran tablas con datos generales de los proyectos, sus estudiantes </w:t>
      </w:r>
      <w:r w:rsidR="00193F97">
        <w:rPr>
          <w:rFonts w:ascii="Times New Roman" w:eastAsia="Times New Roman" w:hAnsi="Times New Roman" w:cs="Times New Roman"/>
        </w:rPr>
        <w:t xml:space="preserve">responsables </w:t>
      </w:r>
      <w:r>
        <w:rPr>
          <w:rFonts w:ascii="Times New Roman" w:eastAsia="Times New Roman" w:hAnsi="Times New Roman" w:cs="Times New Roman"/>
        </w:rPr>
        <w:t xml:space="preserve">y docentes. En la tabla 7 se muestra la lista de servicios y carreras de los estudiantes </w:t>
      </w:r>
      <w:r w:rsidR="00193F97">
        <w:rPr>
          <w:rFonts w:ascii="Times New Roman" w:eastAsia="Times New Roman" w:hAnsi="Times New Roman" w:cs="Times New Roman"/>
        </w:rPr>
        <w:t>responsables</w:t>
      </w:r>
      <w:r>
        <w:rPr>
          <w:rFonts w:ascii="Times New Roman" w:eastAsia="Times New Roman" w:hAnsi="Times New Roman" w:cs="Times New Roman"/>
        </w:rPr>
        <w:t xml:space="preserve"> de los proyectos </w:t>
      </w:r>
      <w:r w:rsidR="00193F97">
        <w:rPr>
          <w:rFonts w:ascii="Times New Roman" w:eastAsia="Times New Roman" w:hAnsi="Times New Roman" w:cs="Times New Roman"/>
        </w:rPr>
        <w:t>recomendados para su financiamiento</w:t>
      </w:r>
      <w:r>
        <w:rPr>
          <w:rFonts w:ascii="Times New Roman" w:eastAsia="Times New Roman" w:hAnsi="Times New Roman" w:cs="Times New Roman"/>
        </w:rPr>
        <w:t xml:space="preserve">. En la 8 la distribución de estudiantes responsables financiados según sexo y la distribución por grado de los docentes orientadores en la Tabla 9. Finalmente, en la tabla 10 se da cuenta del conjunto de proyectos </w:t>
      </w:r>
      <w:r w:rsidR="00193F97">
        <w:rPr>
          <w:rFonts w:ascii="Times New Roman" w:eastAsia="Times New Roman" w:hAnsi="Times New Roman" w:cs="Times New Roman"/>
        </w:rPr>
        <w:t>cuyo financiamiento se recomienda</w:t>
      </w:r>
      <w:r>
        <w:rPr>
          <w:rFonts w:ascii="Times New Roman" w:eastAsia="Times New Roman" w:hAnsi="Times New Roman" w:cs="Times New Roman"/>
        </w:rPr>
        <w:t>.</w:t>
      </w:r>
    </w:p>
    <w:p w14:paraId="5A22B602" w14:textId="0B553B68" w:rsidR="00F540D5" w:rsidRDefault="00307D0A">
      <w:pPr>
        <w:pStyle w:val="Standard"/>
        <w:spacing w:before="57" w:after="57"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Tabla 9. Lista de carreras por servicio de los estudiantes referentes de proyectos </w:t>
      </w:r>
      <w:r w:rsidR="00193F97">
        <w:rPr>
          <w:rFonts w:ascii="Times New Roman" w:eastAsia="Times New Roman" w:hAnsi="Times New Roman" w:cs="Times New Roman"/>
          <w:b/>
          <w:bCs/>
          <w:sz w:val="22"/>
          <w:szCs w:val="22"/>
        </w:rPr>
        <w:t>a financiar</w:t>
      </w:r>
      <w:r>
        <w:rPr>
          <w:rFonts w:ascii="Times New Roman" w:eastAsia="Times New Roman" w:hAnsi="Times New Roman" w:cs="Times New Roman"/>
          <w:b/>
          <w:bCs/>
          <w:sz w:val="22"/>
          <w:szCs w:val="22"/>
        </w:rPr>
        <w:t xml:space="preserve"> </w:t>
      </w:r>
    </w:p>
    <w:tbl>
      <w:tblPr>
        <w:tblW w:w="10057" w:type="dxa"/>
        <w:tblLayout w:type="fixed"/>
        <w:tblCellMar>
          <w:left w:w="10" w:type="dxa"/>
          <w:right w:w="10" w:type="dxa"/>
        </w:tblCellMar>
        <w:tblLook w:val="04A0" w:firstRow="1" w:lastRow="0" w:firstColumn="1" w:lastColumn="0" w:noHBand="0" w:noVBand="1"/>
      </w:tblPr>
      <w:tblGrid>
        <w:gridCol w:w="4103"/>
        <w:gridCol w:w="5954"/>
      </w:tblGrid>
      <w:tr w:rsidR="00F540D5" w14:paraId="4788D2CB" w14:textId="77777777">
        <w:trPr>
          <w:trHeight w:val="27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549F94" w14:textId="77777777" w:rsidR="00F540D5" w:rsidRDefault="00307D0A">
            <w:pPr>
              <w:spacing w:line="251"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Servicio</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D30AD" w14:textId="77777777" w:rsidR="00F540D5" w:rsidRDefault="00307D0A">
            <w:pPr>
              <w:spacing w:before="240" w:line="251"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Carrera</w:t>
            </w:r>
          </w:p>
          <w:p w14:paraId="049F31CB" w14:textId="77777777" w:rsidR="00F540D5" w:rsidRDefault="00F540D5">
            <w:pPr>
              <w:jc w:val="center"/>
              <w:rPr>
                <w:rFonts w:ascii="Times New Roman" w:eastAsia="Times New Roman" w:hAnsi="Times New Roman" w:cs="Times New Roman"/>
                <w:b/>
                <w:bCs/>
                <w:color w:val="000000"/>
                <w:sz w:val="22"/>
                <w:szCs w:val="22"/>
              </w:rPr>
            </w:pPr>
          </w:p>
        </w:tc>
      </w:tr>
      <w:tr w:rsidR="00F540D5" w14:paraId="03B89847" w14:textId="77777777">
        <w:trPr>
          <w:trHeight w:val="136"/>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51222CB4" w14:textId="77777777" w:rsidR="00F540D5" w:rsidRDefault="00307D0A">
            <w:r>
              <w:rPr>
                <w:rFonts w:ascii="Times New Roman" w:eastAsia="Times New Roman" w:hAnsi="Times New Roman" w:cs="Times New Roman"/>
                <w:i/>
                <w:iCs/>
                <w:color w:val="000000"/>
                <w:sz w:val="22"/>
                <w:szCs w:val="22"/>
              </w:rPr>
              <w:t>CENUR-Noreste</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4F9B26DF" w14:textId="77777777" w:rsidR="00F540D5" w:rsidRDefault="00307D0A">
            <w:r>
              <w:rPr>
                <w:rFonts w:ascii="Times New Roman" w:eastAsia="Times New Roman" w:hAnsi="Times New Roman" w:cs="Times New Roman"/>
                <w:color w:val="000000"/>
                <w:sz w:val="22"/>
                <w:szCs w:val="22"/>
              </w:rPr>
              <w:t>Licenciatura en Educación Física</w:t>
            </w:r>
          </w:p>
        </w:tc>
      </w:tr>
      <w:tr w:rsidR="00F540D5" w14:paraId="381AC838"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53128261"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E90CDB4" w14:textId="77777777" w:rsidR="00F540D5" w:rsidRDefault="00307D0A">
            <w:r>
              <w:rPr>
                <w:rFonts w:ascii="Times New Roman" w:eastAsia="Times New Roman" w:hAnsi="Times New Roman" w:cs="Times New Roman"/>
                <w:color w:val="000000"/>
                <w:sz w:val="22"/>
                <w:szCs w:val="22"/>
              </w:rPr>
              <w:t>Tecnicatura en Gestión de Recursos Naturales y Desarrollo Sustentable</w:t>
            </w:r>
          </w:p>
        </w:tc>
      </w:tr>
      <w:tr w:rsidR="00F540D5" w14:paraId="7F135D85"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62486C05"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D231AC9" w14:textId="77777777" w:rsidR="00F540D5" w:rsidRDefault="00307D0A">
            <w:r>
              <w:rPr>
                <w:rFonts w:ascii="Times New Roman" w:eastAsia="Times New Roman" w:hAnsi="Times New Roman" w:cs="Times New Roman"/>
                <w:color w:val="000000"/>
                <w:sz w:val="22"/>
                <w:szCs w:val="22"/>
              </w:rPr>
              <w:t>Licenciatura en Geografía</w:t>
            </w:r>
          </w:p>
        </w:tc>
      </w:tr>
      <w:tr w:rsidR="00F540D5" w14:paraId="67D9D868"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101652C"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B9A489F" w14:textId="77777777" w:rsidR="00F540D5" w:rsidRDefault="00307D0A">
            <w:r>
              <w:rPr>
                <w:rFonts w:ascii="Times New Roman" w:eastAsia="Times New Roman" w:hAnsi="Times New Roman" w:cs="Times New Roman"/>
                <w:color w:val="000000"/>
                <w:sz w:val="22"/>
                <w:szCs w:val="22"/>
              </w:rPr>
              <w:t>Licenciatura en Ingeniería Forestal</w:t>
            </w:r>
          </w:p>
        </w:tc>
      </w:tr>
      <w:tr w:rsidR="00F540D5" w14:paraId="425343F2"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B99056E"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85569A6" w14:textId="77777777" w:rsidR="00F540D5" w:rsidRDefault="00307D0A">
            <w:r>
              <w:rPr>
                <w:rFonts w:ascii="Times New Roman" w:eastAsia="Times New Roman" w:hAnsi="Times New Roman" w:cs="Times New Roman"/>
                <w:color w:val="000000"/>
                <w:sz w:val="22"/>
                <w:szCs w:val="22"/>
              </w:rPr>
              <w:t>Licenciatura en Recursos Naturales</w:t>
            </w:r>
          </w:p>
        </w:tc>
      </w:tr>
      <w:tr w:rsidR="00F540D5" w14:paraId="7E02D235" w14:textId="77777777">
        <w:trPr>
          <w:trHeight w:val="136"/>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CDC16E4" w14:textId="77777777" w:rsidR="00F540D5" w:rsidRDefault="00307D0A">
            <w:r>
              <w:rPr>
                <w:rFonts w:ascii="Times New Roman" w:eastAsia="Times New Roman" w:hAnsi="Times New Roman" w:cs="Times New Roman"/>
                <w:i/>
                <w:iCs/>
                <w:color w:val="000000"/>
                <w:sz w:val="22"/>
                <w:szCs w:val="22"/>
              </w:rPr>
              <w:t>CENUR-Litoral Norte</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21B1D6D" w14:textId="77777777" w:rsidR="00F540D5" w:rsidRDefault="00307D0A">
            <w:r>
              <w:rPr>
                <w:rFonts w:ascii="Times New Roman" w:eastAsia="Times New Roman" w:hAnsi="Times New Roman" w:cs="Times New Roman"/>
                <w:color w:val="000000"/>
                <w:sz w:val="22"/>
                <w:szCs w:val="22"/>
              </w:rPr>
              <w:t>Licenciatura en Arquitectura</w:t>
            </w:r>
          </w:p>
        </w:tc>
      </w:tr>
      <w:tr w:rsidR="00F540D5" w14:paraId="27B15877"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299C43A"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9BB6043" w14:textId="77777777" w:rsidR="00F540D5" w:rsidRDefault="00307D0A">
            <w:r>
              <w:rPr>
                <w:rFonts w:ascii="Times New Roman" w:eastAsia="Times New Roman" w:hAnsi="Times New Roman" w:cs="Times New Roman"/>
                <w:color w:val="000000"/>
                <w:sz w:val="22"/>
                <w:szCs w:val="22"/>
              </w:rPr>
              <w:t>Licenciatura en Gestión Ambiental</w:t>
            </w:r>
          </w:p>
        </w:tc>
      </w:tr>
      <w:tr w:rsidR="00F540D5" w14:paraId="51140E27"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DDBEF00"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377D1C8" w14:textId="77777777" w:rsidR="00F540D5" w:rsidRDefault="00307D0A">
            <w:r>
              <w:rPr>
                <w:rFonts w:ascii="Times New Roman" w:eastAsia="Times New Roman" w:hAnsi="Times New Roman" w:cs="Times New Roman"/>
                <w:color w:val="000000"/>
                <w:sz w:val="22"/>
                <w:szCs w:val="22"/>
              </w:rPr>
              <w:t>Licenciatura en Educación Física</w:t>
            </w:r>
          </w:p>
        </w:tc>
      </w:tr>
      <w:tr w:rsidR="00F540D5" w14:paraId="25938B6E"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461D779"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A588EAA" w14:textId="77777777" w:rsidR="00F540D5" w:rsidRDefault="00307D0A">
            <w:r>
              <w:rPr>
                <w:rFonts w:ascii="Times New Roman" w:eastAsia="Times New Roman" w:hAnsi="Times New Roman" w:cs="Times New Roman"/>
                <w:color w:val="000000"/>
                <w:sz w:val="22"/>
                <w:szCs w:val="22"/>
              </w:rPr>
              <w:t>Licenciatura en Medicina</w:t>
            </w:r>
          </w:p>
        </w:tc>
      </w:tr>
      <w:tr w:rsidR="00F540D5" w14:paraId="21C6C515"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CF2D8B6"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8CB235D" w14:textId="77777777" w:rsidR="00F540D5" w:rsidRDefault="00307D0A">
            <w:r>
              <w:rPr>
                <w:rFonts w:ascii="Times New Roman" w:eastAsia="Times New Roman" w:hAnsi="Times New Roman" w:cs="Times New Roman"/>
                <w:color w:val="000000"/>
                <w:sz w:val="22"/>
                <w:szCs w:val="22"/>
              </w:rPr>
              <w:t>Licenciatura en Fisioterapia</w:t>
            </w:r>
          </w:p>
        </w:tc>
      </w:tr>
      <w:tr w:rsidR="00F540D5" w14:paraId="61618B04"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FB78278"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1A9B9DB" w14:textId="77777777" w:rsidR="00F540D5" w:rsidRDefault="00307D0A">
            <w:r>
              <w:rPr>
                <w:rFonts w:ascii="Times New Roman" w:eastAsia="Times New Roman" w:hAnsi="Times New Roman" w:cs="Times New Roman"/>
                <w:color w:val="000000"/>
                <w:sz w:val="22"/>
                <w:szCs w:val="22"/>
              </w:rPr>
              <w:t>Licenciatura en Trabajo Social</w:t>
            </w:r>
          </w:p>
        </w:tc>
      </w:tr>
      <w:tr w:rsidR="00F540D5" w14:paraId="0E68C542" w14:textId="77777777">
        <w:trPr>
          <w:trHeight w:val="136"/>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58C7497D" w14:textId="77777777" w:rsidR="00F540D5" w:rsidRDefault="00307D0A">
            <w:r>
              <w:rPr>
                <w:rFonts w:ascii="Times New Roman" w:eastAsia="Times New Roman" w:hAnsi="Times New Roman" w:cs="Times New Roman"/>
                <w:i/>
                <w:iCs/>
                <w:color w:val="000000"/>
                <w:sz w:val="22"/>
                <w:szCs w:val="22"/>
              </w:rPr>
              <w:t xml:space="preserve">Facultad de Agronomía </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7177C4A7" w14:textId="77777777" w:rsidR="00F540D5" w:rsidRDefault="00307D0A">
            <w:r>
              <w:rPr>
                <w:rFonts w:ascii="Times New Roman" w:eastAsia="Times New Roman" w:hAnsi="Times New Roman" w:cs="Times New Roman"/>
                <w:color w:val="000000"/>
                <w:sz w:val="22"/>
                <w:szCs w:val="22"/>
              </w:rPr>
              <w:t xml:space="preserve">Ingeniería Agronómica </w:t>
            </w:r>
          </w:p>
        </w:tc>
      </w:tr>
      <w:tr w:rsidR="00F540D5" w14:paraId="7B643428"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FC39945"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ACD8738" w14:textId="77777777" w:rsidR="00F540D5" w:rsidRDefault="00307D0A">
            <w:r>
              <w:rPr>
                <w:rFonts w:ascii="Times New Roman" w:eastAsia="Times New Roman" w:hAnsi="Times New Roman" w:cs="Times New Roman"/>
                <w:color w:val="000000"/>
                <w:sz w:val="22"/>
                <w:szCs w:val="22"/>
              </w:rPr>
              <w:t>Licenciatura en Bioquímica</w:t>
            </w:r>
          </w:p>
        </w:tc>
      </w:tr>
      <w:tr w:rsidR="00F540D5" w14:paraId="6882E1F4" w14:textId="77777777">
        <w:trPr>
          <w:trHeight w:val="136"/>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D18D2D4" w14:textId="77777777" w:rsidR="00F540D5" w:rsidRDefault="00307D0A">
            <w:r>
              <w:rPr>
                <w:rFonts w:ascii="Times New Roman" w:eastAsia="Times New Roman" w:hAnsi="Times New Roman" w:cs="Times New Roman"/>
                <w:i/>
                <w:iCs/>
                <w:color w:val="000000"/>
                <w:sz w:val="22"/>
                <w:szCs w:val="22"/>
              </w:rPr>
              <w:t>Facultad de Arquitectura y Diseño</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7886778C" w14:textId="77777777" w:rsidR="00F540D5" w:rsidRDefault="00307D0A">
            <w:r>
              <w:rPr>
                <w:rFonts w:ascii="Times New Roman" w:eastAsia="Times New Roman" w:hAnsi="Times New Roman" w:cs="Times New Roman"/>
                <w:color w:val="000000"/>
                <w:sz w:val="22"/>
                <w:szCs w:val="22"/>
              </w:rPr>
              <w:t>Ingeniería Civil</w:t>
            </w:r>
          </w:p>
        </w:tc>
      </w:tr>
      <w:tr w:rsidR="00F540D5" w14:paraId="1CD77A83"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562CB0E"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374CEA1E" w14:textId="77777777" w:rsidR="00F540D5" w:rsidRDefault="00307D0A">
            <w:r>
              <w:rPr>
                <w:rFonts w:ascii="Times New Roman" w:eastAsia="Times New Roman" w:hAnsi="Times New Roman" w:cs="Times New Roman"/>
                <w:color w:val="000000"/>
                <w:sz w:val="22"/>
                <w:szCs w:val="22"/>
              </w:rPr>
              <w:t>Licenciatura en Diseño Industrial</w:t>
            </w:r>
          </w:p>
        </w:tc>
      </w:tr>
      <w:tr w:rsidR="00F540D5" w14:paraId="0AF5842B"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4CE0A41"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100C65A2" w14:textId="77777777" w:rsidR="00F540D5" w:rsidRDefault="00307D0A">
            <w:r>
              <w:rPr>
                <w:rFonts w:ascii="Times New Roman" w:eastAsia="Times New Roman" w:hAnsi="Times New Roman" w:cs="Times New Roman"/>
                <w:color w:val="000000"/>
                <w:sz w:val="22"/>
                <w:szCs w:val="22"/>
              </w:rPr>
              <w:t>Licenciatura en Diseño de Comunicación Visual</w:t>
            </w:r>
          </w:p>
        </w:tc>
      </w:tr>
      <w:tr w:rsidR="00F540D5" w14:paraId="6485E5AE"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62EBF3C5"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91C3CF5" w14:textId="77777777" w:rsidR="00F540D5" w:rsidRDefault="00307D0A">
            <w:r>
              <w:rPr>
                <w:rFonts w:ascii="Times New Roman" w:eastAsia="Times New Roman" w:hAnsi="Times New Roman" w:cs="Times New Roman"/>
                <w:color w:val="000000"/>
                <w:sz w:val="22"/>
                <w:szCs w:val="22"/>
              </w:rPr>
              <w:t>Licenciatura en Arquitectura</w:t>
            </w:r>
          </w:p>
        </w:tc>
      </w:tr>
      <w:tr w:rsidR="00F540D5" w14:paraId="7330510E" w14:textId="77777777">
        <w:trPr>
          <w:trHeight w:val="136"/>
        </w:trPr>
        <w:tc>
          <w:tcPr>
            <w:tcW w:w="410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7EADF2B" w14:textId="77777777" w:rsidR="00F540D5" w:rsidRDefault="00307D0A">
            <w:r>
              <w:rPr>
                <w:rFonts w:ascii="Times New Roman" w:eastAsia="Times New Roman" w:hAnsi="Times New Roman" w:cs="Times New Roman"/>
                <w:i/>
                <w:iCs/>
                <w:color w:val="000000"/>
                <w:sz w:val="22"/>
                <w:szCs w:val="22"/>
              </w:rPr>
              <w:t>Facultad de Artes</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01C5EAEF" w14:textId="77777777" w:rsidR="00F540D5" w:rsidRDefault="00307D0A">
            <w:r>
              <w:rPr>
                <w:rFonts w:ascii="Times New Roman" w:eastAsia="Times New Roman" w:hAnsi="Times New Roman" w:cs="Times New Roman"/>
                <w:color w:val="000000"/>
                <w:sz w:val="22"/>
                <w:szCs w:val="22"/>
              </w:rPr>
              <w:t>Licenciatura en Danza</w:t>
            </w:r>
          </w:p>
        </w:tc>
      </w:tr>
      <w:tr w:rsidR="00F540D5" w14:paraId="2A9365C4" w14:textId="77777777">
        <w:trPr>
          <w:trHeight w:val="136"/>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779C3488" w14:textId="77777777" w:rsidR="00F540D5" w:rsidRDefault="00307D0A">
            <w:r>
              <w:rPr>
                <w:rFonts w:ascii="Times New Roman" w:eastAsia="Times New Roman" w:hAnsi="Times New Roman" w:cs="Times New Roman"/>
                <w:i/>
                <w:iCs/>
                <w:color w:val="000000"/>
                <w:sz w:val="22"/>
                <w:szCs w:val="22"/>
              </w:rPr>
              <w:t>Facultad de Ciencias</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38C9993" w14:textId="77777777" w:rsidR="00F540D5" w:rsidRDefault="00307D0A">
            <w:r>
              <w:rPr>
                <w:rFonts w:ascii="Times New Roman" w:eastAsia="Times New Roman" w:hAnsi="Times New Roman" w:cs="Times New Roman"/>
                <w:color w:val="000000"/>
                <w:sz w:val="22"/>
                <w:szCs w:val="22"/>
              </w:rPr>
              <w:t xml:space="preserve">Licenciatura en Ciencias Biológicas </w:t>
            </w:r>
          </w:p>
        </w:tc>
      </w:tr>
      <w:tr w:rsidR="00F540D5" w14:paraId="10BA2A46"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6D98A12B"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481C55A" w14:textId="77777777" w:rsidR="00F540D5" w:rsidRDefault="00307D0A">
            <w:r>
              <w:rPr>
                <w:rFonts w:ascii="Times New Roman" w:eastAsia="Times New Roman" w:hAnsi="Times New Roman" w:cs="Times New Roman"/>
                <w:color w:val="000000"/>
                <w:sz w:val="22"/>
                <w:szCs w:val="22"/>
              </w:rPr>
              <w:t>Licenciatura en Bioquímica</w:t>
            </w:r>
          </w:p>
        </w:tc>
      </w:tr>
      <w:tr w:rsidR="00F540D5" w14:paraId="48E77E2F" w14:textId="77777777">
        <w:trPr>
          <w:trHeight w:val="136"/>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946DB82"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4F123171" w14:textId="77777777" w:rsidR="00F540D5" w:rsidRDefault="00307D0A">
            <w:r>
              <w:rPr>
                <w:rFonts w:ascii="Times New Roman" w:eastAsia="Times New Roman" w:hAnsi="Times New Roman" w:cs="Times New Roman"/>
                <w:color w:val="000000"/>
                <w:sz w:val="22"/>
                <w:szCs w:val="22"/>
              </w:rPr>
              <w:t>Licenciatura en Geografía</w:t>
            </w:r>
          </w:p>
        </w:tc>
      </w:tr>
      <w:tr w:rsidR="00F540D5" w14:paraId="19E2CE6C" w14:textId="77777777">
        <w:trPr>
          <w:trHeight w:val="230"/>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5997CC1D" w14:textId="77777777" w:rsidR="00F540D5" w:rsidRDefault="00F540D5">
            <w:pPr>
              <w:rPr>
                <w:rFonts w:ascii="Times New Roman" w:eastAsia="Times New Roman" w:hAnsi="Times New Roman" w:cs="Times New Roman"/>
                <w:i/>
                <w:color w:val="000000"/>
                <w:sz w:val="20"/>
                <w:szCs w:val="20"/>
              </w:rPr>
            </w:pPr>
          </w:p>
        </w:tc>
        <w:tc>
          <w:tcPr>
            <w:tcW w:w="5954"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D78B6B4" w14:textId="77777777" w:rsidR="00F540D5" w:rsidRDefault="00307D0A">
            <w:r>
              <w:rPr>
                <w:rFonts w:ascii="Times New Roman" w:eastAsia="Times New Roman" w:hAnsi="Times New Roman" w:cs="Times New Roman"/>
                <w:color w:val="000000"/>
                <w:sz w:val="22"/>
                <w:szCs w:val="22"/>
              </w:rPr>
              <w:t>Licenciatura en Geología</w:t>
            </w:r>
          </w:p>
        </w:tc>
      </w:tr>
      <w:tr w:rsidR="00F540D5" w14:paraId="110FFD37" w14:textId="77777777">
        <w:trPr>
          <w:trHeight w:val="136"/>
        </w:trPr>
        <w:tc>
          <w:tcPr>
            <w:tcW w:w="4103" w:type="dxa"/>
            <w:tcBorders>
              <w:left w:val="single" w:sz="6" w:space="0" w:color="000000"/>
              <w:right w:val="single" w:sz="6" w:space="0" w:color="000000"/>
            </w:tcBorders>
            <w:shd w:val="clear" w:color="auto" w:fill="auto"/>
            <w:tcMar>
              <w:top w:w="0" w:type="dxa"/>
              <w:left w:w="108" w:type="dxa"/>
              <w:bottom w:w="0" w:type="dxa"/>
              <w:right w:w="108" w:type="dxa"/>
            </w:tcMar>
            <w:vAlign w:val="center"/>
          </w:tcPr>
          <w:p w14:paraId="6B699379" w14:textId="77777777" w:rsidR="00F540D5" w:rsidRDefault="00F540D5">
            <w:pPr>
              <w:rPr>
                <w:rFonts w:ascii="Times New Roman" w:eastAsia="Times New Roman" w:hAnsi="Times New Roman" w:cs="Times New Roman"/>
                <w:i/>
                <w:iCs/>
                <w:color w:val="000000"/>
                <w:sz w:val="22"/>
                <w:szCs w:val="22"/>
              </w:rPr>
            </w:pPr>
          </w:p>
        </w:tc>
        <w:tc>
          <w:tcPr>
            <w:tcW w:w="5954"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FE9F23F" w14:textId="77777777" w:rsidR="00F540D5" w:rsidRDefault="00F540D5">
            <w:pPr>
              <w:rPr>
                <w:rFonts w:ascii="Times New Roman" w:eastAsia="Times New Roman" w:hAnsi="Times New Roman" w:cs="Times New Roman"/>
                <w:color w:val="000000"/>
                <w:sz w:val="20"/>
                <w:szCs w:val="20"/>
              </w:rPr>
            </w:pPr>
          </w:p>
        </w:tc>
      </w:tr>
      <w:tr w:rsidR="00F540D5" w14:paraId="68B5AF70" w14:textId="77777777">
        <w:trPr>
          <w:trHeight w:val="567"/>
        </w:trPr>
        <w:tc>
          <w:tcPr>
            <w:tcW w:w="410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5F5168DC" w14:textId="77777777" w:rsidR="00F540D5" w:rsidRDefault="00307D0A">
            <w:r>
              <w:rPr>
                <w:rFonts w:ascii="Times New Roman" w:eastAsia="Times New Roman" w:hAnsi="Times New Roman" w:cs="Times New Roman"/>
                <w:i/>
                <w:iCs/>
                <w:color w:val="000000"/>
                <w:sz w:val="22"/>
                <w:szCs w:val="22"/>
              </w:rPr>
              <w:t>Facultad de Derecho</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9A3FD50" w14:textId="77777777" w:rsidR="00F540D5" w:rsidRDefault="00307D0A">
            <w:r>
              <w:rPr>
                <w:rFonts w:ascii="Times New Roman" w:eastAsia="Times New Roman" w:hAnsi="Times New Roman" w:cs="Times New Roman"/>
                <w:color w:val="000000"/>
                <w:sz w:val="22"/>
                <w:szCs w:val="22"/>
              </w:rPr>
              <w:t>Abogacía</w:t>
            </w:r>
          </w:p>
        </w:tc>
      </w:tr>
      <w:tr w:rsidR="00F540D5" w14:paraId="4125DD35" w14:textId="77777777">
        <w:trPr>
          <w:trHeight w:val="349"/>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1D24FC3" w14:textId="77777777" w:rsidR="00F540D5" w:rsidRDefault="00307D0A">
            <w:r>
              <w:rPr>
                <w:rFonts w:ascii="Times New Roman" w:eastAsia="Times New Roman" w:hAnsi="Times New Roman" w:cs="Times New Roman"/>
                <w:i/>
                <w:iCs/>
                <w:color w:val="000000"/>
                <w:sz w:val="22"/>
                <w:szCs w:val="22"/>
              </w:rPr>
              <w:t>Facultad de Humanidades y Ciencias de la Educación</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4108A069" w14:textId="77777777" w:rsidR="00F540D5" w:rsidRDefault="00307D0A">
            <w:r>
              <w:rPr>
                <w:rFonts w:ascii="Times New Roman" w:eastAsia="Times New Roman" w:hAnsi="Times New Roman" w:cs="Times New Roman"/>
                <w:color w:val="000000"/>
                <w:sz w:val="22"/>
                <w:szCs w:val="22"/>
              </w:rPr>
              <w:t>Licenciatura en Ciencias Antropológicas</w:t>
            </w:r>
          </w:p>
        </w:tc>
      </w:tr>
      <w:tr w:rsidR="00F540D5" w14:paraId="0994E24C" w14:textId="77777777">
        <w:trPr>
          <w:trHeight w:val="293"/>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F72F646" w14:textId="77777777" w:rsidR="00F540D5" w:rsidRDefault="00F540D5">
            <w:pPr>
              <w:rPr>
                <w:rFonts w:ascii="Times New Roman" w:eastAsia="Times New Roman" w:hAnsi="Times New Roman" w:cs="Times New Roman"/>
                <w:i/>
                <w:color w:val="000000"/>
                <w:sz w:val="20"/>
                <w:szCs w:val="20"/>
              </w:rPr>
            </w:pP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1C188ABC" w14:textId="77777777" w:rsidR="00F540D5" w:rsidRDefault="00307D0A">
            <w:r>
              <w:rPr>
                <w:rFonts w:ascii="Times New Roman" w:eastAsia="Times New Roman" w:hAnsi="Times New Roman" w:cs="Times New Roman"/>
                <w:color w:val="000000"/>
                <w:sz w:val="22"/>
                <w:szCs w:val="22"/>
              </w:rPr>
              <w:t>Licenciatura en Filosofía</w:t>
            </w:r>
          </w:p>
        </w:tc>
      </w:tr>
      <w:tr w:rsidR="00F540D5" w14:paraId="07C914F1" w14:textId="77777777">
        <w:trPr>
          <w:trHeight w:val="371"/>
        </w:trPr>
        <w:tc>
          <w:tcPr>
            <w:tcW w:w="4103" w:type="dxa"/>
            <w:tcBorders>
              <w:top w:val="single" w:sz="6"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14:paraId="69D7E313" w14:textId="77777777" w:rsidR="00F540D5" w:rsidRDefault="00307D0A">
            <w:r>
              <w:rPr>
                <w:rFonts w:ascii="Times New Roman" w:eastAsia="Times New Roman" w:hAnsi="Times New Roman" w:cs="Times New Roman"/>
                <w:i/>
                <w:iCs/>
                <w:color w:val="000000"/>
                <w:sz w:val="22"/>
                <w:szCs w:val="22"/>
              </w:rPr>
              <w:t>Facultad de Información y Comunicación</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CBF7416" w14:textId="77777777" w:rsidR="00F540D5" w:rsidRDefault="00307D0A">
            <w:r>
              <w:rPr>
                <w:rFonts w:ascii="Times New Roman" w:eastAsia="Times New Roman" w:hAnsi="Times New Roman" w:cs="Times New Roman"/>
                <w:color w:val="000000"/>
                <w:sz w:val="22"/>
                <w:szCs w:val="22"/>
              </w:rPr>
              <w:t>Licenciatura en Comunicación</w:t>
            </w:r>
          </w:p>
        </w:tc>
      </w:tr>
      <w:tr w:rsidR="00F540D5" w14:paraId="1809921A" w14:textId="77777777">
        <w:trPr>
          <w:trHeight w:val="371"/>
        </w:trPr>
        <w:tc>
          <w:tcPr>
            <w:tcW w:w="4103" w:type="dxa"/>
            <w:tcBorders>
              <w:top w:val="single" w:sz="6"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14:paraId="41944A61" w14:textId="77777777" w:rsidR="00F540D5" w:rsidRDefault="00307D0A">
            <w:r>
              <w:rPr>
                <w:rFonts w:ascii="Times New Roman" w:eastAsia="Times New Roman" w:hAnsi="Times New Roman" w:cs="Times New Roman"/>
                <w:i/>
                <w:iCs/>
                <w:color w:val="000000"/>
                <w:sz w:val="22"/>
                <w:szCs w:val="22"/>
              </w:rPr>
              <w:t xml:space="preserve">Facultad de Medicina </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715A9E00" w14:textId="77777777" w:rsidR="00F540D5" w:rsidRDefault="00307D0A">
            <w:r>
              <w:rPr>
                <w:rFonts w:ascii="Times New Roman" w:eastAsia="Times New Roman" w:hAnsi="Times New Roman" w:cs="Times New Roman"/>
                <w:color w:val="000000"/>
                <w:sz w:val="22"/>
                <w:szCs w:val="22"/>
              </w:rPr>
              <w:t xml:space="preserve">Medicina </w:t>
            </w:r>
          </w:p>
        </w:tc>
      </w:tr>
      <w:tr w:rsidR="00F540D5" w14:paraId="7EA5889D" w14:textId="77777777">
        <w:trPr>
          <w:trHeight w:val="371"/>
        </w:trPr>
        <w:tc>
          <w:tcPr>
            <w:tcW w:w="4103" w:type="dxa"/>
            <w:tcBorders>
              <w:top w:val="single" w:sz="6"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14:paraId="21A289FA" w14:textId="77777777" w:rsidR="00F540D5" w:rsidRDefault="00307D0A">
            <w:r>
              <w:rPr>
                <w:rFonts w:ascii="Times New Roman" w:eastAsia="Times New Roman" w:hAnsi="Times New Roman" w:cs="Times New Roman"/>
                <w:i/>
                <w:iCs/>
                <w:color w:val="000000"/>
                <w:sz w:val="22"/>
                <w:szCs w:val="22"/>
              </w:rPr>
              <w:t>Facultad de Psicología</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6CCC600C" w14:textId="77777777" w:rsidR="00F540D5" w:rsidRDefault="00307D0A">
            <w:r>
              <w:rPr>
                <w:rFonts w:ascii="Times New Roman" w:eastAsia="Times New Roman" w:hAnsi="Times New Roman" w:cs="Times New Roman"/>
                <w:color w:val="000000"/>
                <w:sz w:val="22"/>
                <w:szCs w:val="22"/>
              </w:rPr>
              <w:t>Licenciatura en Psicología</w:t>
            </w:r>
          </w:p>
        </w:tc>
      </w:tr>
      <w:tr w:rsidR="00F540D5" w14:paraId="5A1A2178" w14:textId="77777777">
        <w:trPr>
          <w:trHeight w:val="270"/>
        </w:trPr>
        <w:tc>
          <w:tcPr>
            <w:tcW w:w="4103"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312F8C0C" w14:textId="77777777" w:rsidR="00F540D5" w:rsidRDefault="00307D0A">
            <w:pPr>
              <w:rPr>
                <w:rFonts w:ascii="Times New Roman" w:hAnsi="Times New Roman" w:cs="Times New Roman"/>
                <w:i/>
                <w:iCs/>
                <w:sz w:val="22"/>
                <w:szCs w:val="22"/>
              </w:rPr>
            </w:pPr>
            <w:r>
              <w:rPr>
                <w:rFonts w:ascii="Times New Roman" w:hAnsi="Times New Roman" w:cs="Times New Roman"/>
                <w:i/>
                <w:iCs/>
                <w:sz w:val="22"/>
                <w:szCs w:val="22"/>
              </w:rPr>
              <w:t>Facultad de Química</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219BE5" w14:textId="77777777" w:rsidR="00F540D5" w:rsidRDefault="00307D0A">
            <w:r>
              <w:rPr>
                <w:rFonts w:ascii="Times New Roman" w:eastAsia="Times New Roman" w:hAnsi="Times New Roman" w:cs="Times New Roman"/>
                <w:color w:val="000000"/>
                <w:sz w:val="22"/>
                <w:szCs w:val="22"/>
              </w:rPr>
              <w:t>Ingeniería Química</w:t>
            </w:r>
          </w:p>
        </w:tc>
      </w:tr>
      <w:tr w:rsidR="00F540D5" w14:paraId="2236621A" w14:textId="77777777">
        <w:trPr>
          <w:trHeight w:val="270"/>
        </w:trPr>
        <w:tc>
          <w:tcPr>
            <w:tcW w:w="4103" w:type="dxa"/>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8CE6F91" w14:textId="77777777" w:rsidR="00F540D5" w:rsidRDefault="00F540D5">
            <w:pPr>
              <w:rPr>
                <w:rFonts w:ascii="Times New Roman" w:eastAsia="Times New Roman" w:hAnsi="Times New Roman" w:cs="Times New Roman"/>
                <w:b/>
                <w:bCs/>
                <w:i/>
                <w:color w:val="000000"/>
                <w:sz w:val="20"/>
                <w:szCs w:val="20"/>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F654F8" w14:textId="77777777" w:rsidR="00F540D5" w:rsidRDefault="00307D0A">
            <w:r>
              <w:rPr>
                <w:rFonts w:ascii="Times New Roman" w:eastAsia="Times New Roman" w:hAnsi="Times New Roman" w:cs="Times New Roman"/>
                <w:color w:val="000000"/>
                <w:sz w:val="22"/>
                <w:szCs w:val="22"/>
              </w:rPr>
              <w:t>Química Farmacéutica</w:t>
            </w:r>
          </w:p>
        </w:tc>
      </w:tr>
      <w:tr w:rsidR="00F540D5" w14:paraId="3EFA6AF6" w14:textId="77777777">
        <w:trPr>
          <w:trHeight w:val="567"/>
        </w:trPr>
        <w:tc>
          <w:tcPr>
            <w:tcW w:w="4103" w:type="dxa"/>
            <w:tcBorders>
              <w:top w:val="single" w:sz="6"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14:paraId="0FCAFD22" w14:textId="77777777" w:rsidR="00F540D5" w:rsidRDefault="00307D0A">
            <w:r>
              <w:rPr>
                <w:rFonts w:ascii="Times New Roman" w:eastAsia="Times New Roman" w:hAnsi="Times New Roman" w:cs="Times New Roman"/>
                <w:i/>
                <w:iCs/>
                <w:color w:val="000000"/>
                <w:sz w:val="22"/>
                <w:szCs w:val="22"/>
              </w:rPr>
              <w:t xml:space="preserve">Facultad de Veterinaria </w:t>
            </w:r>
          </w:p>
        </w:tc>
        <w:tc>
          <w:tcPr>
            <w:tcW w:w="595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79F03F6B" w14:textId="77777777" w:rsidR="00F540D5" w:rsidRDefault="00307D0A">
            <w:r>
              <w:rPr>
                <w:rFonts w:ascii="Times New Roman" w:eastAsia="Times New Roman" w:hAnsi="Times New Roman" w:cs="Times New Roman"/>
                <w:color w:val="000000"/>
                <w:sz w:val="22"/>
                <w:szCs w:val="22"/>
              </w:rPr>
              <w:t xml:space="preserve">Ciencias Veterinarias </w:t>
            </w:r>
          </w:p>
        </w:tc>
      </w:tr>
      <w:tr w:rsidR="00F540D5" w14:paraId="065C4B32" w14:textId="77777777">
        <w:trPr>
          <w:trHeight w:val="27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6B6761" w14:textId="77777777" w:rsidR="00F540D5" w:rsidRDefault="00307D0A">
            <w:r>
              <w:rPr>
                <w:rFonts w:ascii="Times New Roman" w:eastAsia="Times New Roman" w:hAnsi="Times New Roman" w:cs="Times New Roman"/>
                <w:i/>
                <w:iCs/>
                <w:color w:val="000000"/>
                <w:sz w:val="22"/>
                <w:szCs w:val="22"/>
              </w:rPr>
              <w:t>Instituto de Higiene</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F0D64F" w14:textId="77777777" w:rsidR="00F540D5" w:rsidRDefault="00307D0A">
            <w:r>
              <w:rPr>
                <w:rFonts w:ascii="Times New Roman" w:eastAsia="Times New Roman" w:hAnsi="Times New Roman" w:cs="Times New Roman"/>
                <w:color w:val="000000"/>
                <w:sz w:val="22"/>
                <w:szCs w:val="22"/>
              </w:rPr>
              <w:t xml:space="preserve">Medicina </w:t>
            </w:r>
          </w:p>
        </w:tc>
      </w:tr>
      <w:tr w:rsidR="00F540D5" w14:paraId="7430EB54" w14:textId="77777777">
        <w:trPr>
          <w:trHeight w:val="27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98C6A1" w14:textId="77777777" w:rsidR="00F540D5" w:rsidRDefault="00307D0A">
            <w:r>
              <w:rPr>
                <w:rFonts w:ascii="Times New Roman" w:eastAsia="Times New Roman" w:hAnsi="Times New Roman" w:cs="Times New Roman"/>
                <w:i/>
                <w:iCs/>
                <w:color w:val="000000"/>
                <w:sz w:val="22"/>
                <w:szCs w:val="22"/>
              </w:rPr>
              <w:t>Instituto Superior de Educación Física</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C25387" w14:textId="77777777" w:rsidR="00F540D5" w:rsidRDefault="00307D0A">
            <w:r>
              <w:rPr>
                <w:rFonts w:ascii="Times New Roman" w:eastAsia="Times New Roman" w:hAnsi="Times New Roman" w:cs="Times New Roman"/>
                <w:color w:val="000000"/>
                <w:sz w:val="22"/>
                <w:szCs w:val="22"/>
              </w:rPr>
              <w:t>Licenciatura en Educación Física</w:t>
            </w:r>
          </w:p>
        </w:tc>
      </w:tr>
    </w:tbl>
    <w:p w14:paraId="61CDCEAD" w14:textId="77777777" w:rsidR="00F540D5" w:rsidRDefault="00F540D5">
      <w:pPr>
        <w:pStyle w:val="Standard"/>
        <w:spacing w:line="360" w:lineRule="auto"/>
        <w:jc w:val="center"/>
      </w:pPr>
    </w:p>
    <w:p w14:paraId="3DB3CE36" w14:textId="77777777" w:rsidR="00F540D5" w:rsidRDefault="00307D0A">
      <w:pPr>
        <w:pStyle w:val="Standard"/>
        <w:spacing w:before="57" w:after="57"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8. Distribución por sexo de los estudiantes responsables</w:t>
      </w:r>
    </w:p>
    <w:tbl>
      <w:tblPr>
        <w:tblW w:w="4305" w:type="dxa"/>
        <w:jc w:val="center"/>
        <w:tblLayout w:type="fixed"/>
        <w:tblCellMar>
          <w:left w:w="10" w:type="dxa"/>
          <w:right w:w="10" w:type="dxa"/>
        </w:tblCellMar>
        <w:tblLook w:val="04A0" w:firstRow="1" w:lastRow="0" w:firstColumn="1" w:lastColumn="0" w:noHBand="0" w:noVBand="1"/>
      </w:tblPr>
      <w:tblGrid>
        <w:gridCol w:w="690"/>
        <w:gridCol w:w="1575"/>
        <w:gridCol w:w="2040"/>
      </w:tblGrid>
      <w:tr w:rsidR="00F540D5" w14:paraId="799A85B7" w14:textId="77777777">
        <w:trPr>
          <w:trHeight w:val="256"/>
          <w:jc w:val="center"/>
        </w:trPr>
        <w:tc>
          <w:tcPr>
            <w:tcW w:w="690" w:type="dxa"/>
            <w:vMerge w:val="restart"/>
            <w:tcBorders>
              <w:top w:val="single" w:sz="2" w:space="0" w:color="000000"/>
              <w:left w:val="single" w:sz="2" w:space="0" w:color="000000"/>
            </w:tcBorders>
            <w:shd w:val="clear" w:color="auto" w:fill="auto"/>
            <w:tcMar>
              <w:top w:w="55" w:type="dxa"/>
              <w:left w:w="55" w:type="dxa"/>
              <w:bottom w:w="55" w:type="dxa"/>
              <w:right w:w="55" w:type="dxa"/>
            </w:tcMar>
            <w:vAlign w:val="bottom"/>
          </w:tcPr>
          <w:p w14:paraId="6BB9E253" w14:textId="77777777" w:rsidR="00F540D5" w:rsidRDefault="00F540D5">
            <w:pPr>
              <w:pStyle w:val="Standard"/>
              <w:spacing w:line="360" w:lineRule="auto"/>
              <w:rPr>
                <w:rFonts w:ascii="Times New Roman" w:eastAsia="Times New Roman" w:hAnsi="Times New Roman" w:cs="Times New Roman"/>
              </w:rPr>
            </w:pPr>
          </w:p>
        </w:tc>
        <w:tc>
          <w:tcPr>
            <w:tcW w:w="361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CF4868" w14:textId="77777777" w:rsidR="00F540D5" w:rsidRDefault="00307D0A">
            <w:pPr>
              <w:pStyle w:val="Standard"/>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Responsable</w:t>
            </w:r>
          </w:p>
        </w:tc>
      </w:tr>
      <w:tr w:rsidR="00F540D5" w14:paraId="7F21C5E1" w14:textId="77777777" w:rsidTr="00F32E4B">
        <w:trPr>
          <w:trHeight w:val="256"/>
          <w:jc w:val="center"/>
        </w:trPr>
        <w:tc>
          <w:tcPr>
            <w:tcW w:w="690" w:type="dxa"/>
            <w:vMerge/>
            <w:tcBorders>
              <w:top w:val="single" w:sz="2" w:space="0" w:color="000000"/>
              <w:left w:val="single" w:sz="2" w:space="0" w:color="000000"/>
            </w:tcBorders>
            <w:shd w:val="clear" w:color="auto" w:fill="auto"/>
            <w:tcMar>
              <w:top w:w="55" w:type="dxa"/>
              <w:left w:w="55" w:type="dxa"/>
              <w:bottom w:w="55" w:type="dxa"/>
              <w:right w:w="55" w:type="dxa"/>
            </w:tcMar>
            <w:vAlign w:val="bottom"/>
          </w:tcPr>
          <w:p w14:paraId="23DE523C" w14:textId="77777777" w:rsidR="00F540D5" w:rsidRDefault="00F540D5"/>
        </w:tc>
        <w:tc>
          <w:tcPr>
            <w:tcW w:w="15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2B68C1" w14:textId="3E1FCD39" w:rsidR="00F540D5" w:rsidRDefault="00307D0A">
            <w:pPr>
              <w:pStyle w:val="Standard"/>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Frec</w:t>
            </w:r>
            <w:r w:rsidR="00F32E4B">
              <w:rPr>
                <w:rFonts w:ascii="Times New Roman" w:eastAsia="Times New Roman" w:hAnsi="Times New Roman" w:cs="Times New Roman"/>
                <w:b/>
                <w:bCs/>
              </w:rPr>
              <w:t>uencia</w:t>
            </w:r>
          </w:p>
        </w:tc>
        <w:tc>
          <w:tcPr>
            <w:tcW w:w="2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D52869B" w14:textId="77777777" w:rsidR="00F540D5" w:rsidRDefault="00307D0A">
            <w:pPr>
              <w:pStyle w:val="Standard"/>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w:t>
            </w:r>
          </w:p>
        </w:tc>
      </w:tr>
      <w:tr w:rsidR="00F540D5" w14:paraId="116D5498" w14:textId="77777777" w:rsidTr="00F32E4B">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EC0FE4" w14:textId="77777777" w:rsidR="00F540D5" w:rsidRDefault="00307D0A">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F</w:t>
            </w:r>
          </w:p>
        </w:tc>
        <w:tc>
          <w:tcPr>
            <w:tcW w:w="15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03FD93"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2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A3C3AB2"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61</w:t>
            </w:r>
          </w:p>
        </w:tc>
      </w:tr>
      <w:tr w:rsidR="00F540D5" w14:paraId="41E631E0" w14:textId="77777777" w:rsidTr="00F32E4B">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11F612" w14:textId="77777777" w:rsidR="00F540D5" w:rsidRDefault="00307D0A">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M</w:t>
            </w:r>
          </w:p>
        </w:tc>
        <w:tc>
          <w:tcPr>
            <w:tcW w:w="15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A4FC67"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1A51A77"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39</w:t>
            </w:r>
          </w:p>
        </w:tc>
      </w:tr>
      <w:tr w:rsidR="00F540D5" w14:paraId="4B9F7F4F" w14:textId="77777777" w:rsidTr="00F32E4B">
        <w:trPr>
          <w:trHeight w:val="256"/>
          <w:jc w:val="center"/>
        </w:trPr>
        <w:tc>
          <w:tcPr>
            <w:tcW w:w="6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4727373" w14:textId="77777777" w:rsidR="00F540D5" w:rsidRDefault="00307D0A">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Total</w:t>
            </w:r>
          </w:p>
        </w:tc>
        <w:tc>
          <w:tcPr>
            <w:tcW w:w="15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A341D8B"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2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863B65F"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14:paraId="52E56223" w14:textId="77777777" w:rsidR="00F540D5" w:rsidRDefault="00F540D5">
      <w:pPr>
        <w:pStyle w:val="Standard"/>
        <w:spacing w:line="360" w:lineRule="auto"/>
      </w:pPr>
    </w:p>
    <w:p w14:paraId="50E16E3A" w14:textId="77777777" w:rsidR="00F540D5" w:rsidRDefault="00307D0A">
      <w:pPr>
        <w:pStyle w:val="Standard"/>
        <w:spacing w:before="57" w:after="57"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Tabla 9. Distribución por grado de los docentes orientadores</w:t>
      </w:r>
    </w:p>
    <w:p w14:paraId="07547A01" w14:textId="77777777" w:rsidR="00F540D5" w:rsidRDefault="00F540D5">
      <w:pPr>
        <w:pStyle w:val="Standard"/>
        <w:spacing w:line="360" w:lineRule="auto"/>
        <w:jc w:val="center"/>
        <w:rPr>
          <w:b/>
          <w:bCs/>
        </w:rPr>
      </w:pPr>
    </w:p>
    <w:tbl>
      <w:tblPr>
        <w:tblW w:w="4590" w:type="dxa"/>
        <w:jc w:val="center"/>
        <w:tblLayout w:type="fixed"/>
        <w:tblCellMar>
          <w:left w:w="10" w:type="dxa"/>
          <w:right w:w="10" w:type="dxa"/>
        </w:tblCellMar>
        <w:tblLook w:val="04A0" w:firstRow="1" w:lastRow="0" w:firstColumn="1" w:lastColumn="0" w:noHBand="0" w:noVBand="1"/>
      </w:tblPr>
      <w:tblGrid>
        <w:gridCol w:w="1980"/>
        <w:gridCol w:w="1305"/>
        <w:gridCol w:w="1305"/>
      </w:tblGrid>
      <w:tr w:rsidR="00F540D5" w14:paraId="1E5F9980" w14:textId="77777777">
        <w:trPr>
          <w:trHeight w:val="57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6D1E3C6" w14:textId="77777777" w:rsidR="00F540D5" w:rsidRDefault="00307D0A">
            <w:pPr>
              <w:pStyle w:val="Standard"/>
              <w:spacing w:line="251" w:lineRule="auto"/>
              <w:jc w:val="center"/>
              <w:rPr>
                <w:rFonts w:ascii="Times New Roman" w:eastAsia="Times New Roman" w:hAnsi="Times New Roman" w:cs="Times New Roman"/>
                <w:b/>
                <w:bCs/>
              </w:rPr>
            </w:pPr>
            <w:r>
              <w:rPr>
                <w:rFonts w:ascii="Times New Roman" w:eastAsia="Times New Roman" w:hAnsi="Times New Roman" w:cs="Times New Roman"/>
                <w:b/>
                <w:bCs/>
              </w:rPr>
              <w:t>Grado docente</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A6D538" w14:textId="2B125ADB" w:rsidR="00F540D5" w:rsidRDefault="00307D0A">
            <w:pPr>
              <w:pStyle w:val="Standard"/>
              <w:spacing w:line="251" w:lineRule="auto"/>
              <w:jc w:val="center"/>
              <w:rPr>
                <w:rFonts w:ascii="Times New Roman" w:eastAsia="Times New Roman" w:hAnsi="Times New Roman" w:cs="Times New Roman"/>
                <w:b/>
                <w:bCs/>
              </w:rPr>
            </w:pPr>
            <w:r>
              <w:rPr>
                <w:rFonts w:ascii="Times New Roman" w:eastAsia="Times New Roman" w:hAnsi="Times New Roman" w:cs="Times New Roman"/>
                <w:b/>
                <w:bCs/>
              </w:rPr>
              <w:t>Frec</w:t>
            </w:r>
            <w:r w:rsidR="00F32E4B">
              <w:rPr>
                <w:rFonts w:ascii="Times New Roman" w:eastAsia="Times New Roman" w:hAnsi="Times New Roman" w:cs="Times New Roman"/>
                <w:b/>
                <w:bCs/>
              </w:rPr>
              <w:t>uencia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7B7B6" w14:textId="77777777" w:rsidR="00F540D5" w:rsidRDefault="00307D0A">
            <w:pPr>
              <w:pStyle w:val="Standard"/>
              <w:jc w:val="center"/>
              <w:rPr>
                <w:rFonts w:ascii="Times New Roman" w:eastAsia="Times New Roman" w:hAnsi="Times New Roman" w:cs="Times New Roman"/>
                <w:b/>
                <w:bCs/>
              </w:rPr>
            </w:pPr>
            <w:r>
              <w:rPr>
                <w:rFonts w:ascii="Times New Roman" w:eastAsia="Times New Roman" w:hAnsi="Times New Roman" w:cs="Times New Roman"/>
                <w:b/>
                <w:bCs/>
              </w:rPr>
              <w:t>%</w:t>
            </w:r>
          </w:p>
        </w:tc>
      </w:tr>
      <w:tr w:rsidR="00F540D5" w14:paraId="63EB9C18" w14:textId="77777777">
        <w:trPr>
          <w:trHeight w:val="2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4B6C890"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9E3E4F"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CA47E3"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46</w:t>
            </w:r>
          </w:p>
        </w:tc>
      </w:tr>
      <w:tr w:rsidR="00F540D5" w14:paraId="264CC156" w14:textId="77777777">
        <w:trPr>
          <w:trHeight w:val="2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97C039E"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C26413"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FB958C"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36</w:t>
            </w:r>
          </w:p>
        </w:tc>
      </w:tr>
      <w:tr w:rsidR="00F540D5" w14:paraId="10D5F412" w14:textId="77777777">
        <w:trPr>
          <w:trHeight w:val="2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C964D78"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853697"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F18D26"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F540D5" w14:paraId="7B019E4F" w14:textId="77777777">
        <w:trPr>
          <w:trHeight w:val="2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A581CC0"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2176D0"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EFE100"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F540D5" w14:paraId="262F4ED7" w14:textId="77777777">
        <w:trPr>
          <w:trHeight w:val="2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7183AB2"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7B4B53"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25613" w14:textId="77777777" w:rsidR="00F540D5" w:rsidRDefault="00307D0A">
            <w:pPr>
              <w:pStyle w:val="Standard"/>
              <w:spacing w:line="36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14:paraId="5043CB0F" w14:textId="77777777" w:rsidR="00F540D5" w:rsidRDefault="00F540D5">
      <w:pPr>
        <w:pStyle w:val="Standard"/>
        <w:spacing w:before="171" w:after="171" w:line="360" w:lineRule="auto"/>
        <w:rPr>
          <w:bCs/>
        </w:rPr>
      </w:pPr>
    </w:p>
    <w:p w14:paraId="07459315" w14:textId="77777777" w:rsidR="00F540D5" w:rsidRDefault="00F540D5">
      <w:pPr>
        <w:pStyle w:val="Standard"/>
        <w:spacing w:before="171" w:after="171" w:line="360" w:lineRule="auto"/>
        <w:rPr>
          <w:bCs/>
        </w:rPr>
      </w:pPr>
    </w:p>
    <w:p w14:paraId="6537F28F" w14:textId="77777777" w:rsidR="00F540D5" w:rsidRDefault="00F540D5">
      <w:pPr>
        <w:pStyle w:val="Standard"/>
        <w:spacing w:before="171" w:after="171" w:line="360" w:lineRule="auto"/>
        <w:rPr>
          <w:bCs/>
        </w:rPr>
      </w:pPr>
    </w:p>
    <w:p w14:paraId="6DFB9E20" w14:textId="77777777" w:rsidR="00F540D5" w:rsidRDefault="00F540D5">
      <w:pPr>
        <w:pStyle w:val="Standard"/>
        <w:spacing w:before="171" w:after="171" w:line="360" w:lineRule="auto"/>
      </w:pPr>
    </w:p>
    <w:sectPr w:rsidR="00F540D5">
      <w:headerReference w:type="default" r:id="rId9"/>
      <w:pgSz w:w="11906" w:h="16838"/>
      <w:pgMar w:top="720"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CA47" w14:textId="77777777" w:rsidR="009C5452" w:rsidRDefault="009C5452">
      <w:r>
        <w:separator/>
      </w:r>
    </w:p>
  </w:endnote>
  <w:endnote w:type="continuationSeparator" w:id="0">
    <w:p w14:paraId="22F13564" w14:textId="77777777" w:rsidR="009C5452" w:rsidRDefault="009C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Droid Sans Fallback">
    <w:altName w:val="Segoe UI"/>
    <w:panose1 w:val="020B0604020202020204"/>
    <w:charset w:val="00"/>
    <w:family w:val="auto"/>
    <w:pitch w:val="variable"/>
  </w:font>
  <w:font w:name="Lohit Hindi">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2"/>
    <w:family w:val="auto"/>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DF22" w14:textId="77777777" w:rsidR="009C5452" w:rsidRDefault="009C5452">
      <w:r>
        <w:rPr>
          <w:color w:val="000000"/>
        </w:rPr>
        <w:separator/>
      </w:r>
    </w:p>
  </w:footnote>
  <w:footnote w:type="continuationSeparator" w:id="0">
    <w:p w14:paraId="52A700F9" w14:textId="77777777" w:rsidR="009C5452" w:rsidRDefault="009C5452">
      <w:r>
        <w:continuationSeparator/>
      </w:r>
    </w:p>
  </w:footnote>
  <w:footnote w:id="1">
    <w:p w14:paraId="09F7740E" w14:textId="77777777" w:rsidR="00F540D5" w:rsidRDefault="00307D0A">
      <w:pPr>
        <w:pStyle w:val="Textonotapie"/>
      </w:pPr>
      <w:r>
        <w:rPr>
          <w:rStyle w:val="Refdenotaalpie"/>
        </w:rPr>
        <w:footnoteRef/>
      </w:r>
      <w:r>
        <w:t xml:space="preserve"> Originalmente, se había prevista como fecha de cierre el día viernes 15 de julio. La CSIC decidió otorgar dos semanas de prorroga. </w:t>
      </w:r>
    </w:p>
  </w:footnote>
  <w:footnote w:id="2">
    <w:p w14:paraId="368E8D52" w14:textId="77777777" w:rsidR="00AB258B" w:rsidRDefault="00AB258B" w:rsidP="00AB258B">
      <w:pPr>
        <w:pStyle w:val="Textonotapie"/>
      </w:pPr>
      <w:r>
        <w:rPr>
          <w:rStyle w:val="Refdenotaalpie"/>
        </w:rPr>
        <w:footnoteRef/>
      </w:r>
      <w:r>
        <w:t xml:space="preserve"> En la edición 2021 se recibieron 94 postulaciones. </w:t>
      </w:r>
    </w:p>
  </w:footnote>
  <w:footnote w:id="3">
    <w:p w14:paraId="00E123EA" w14:textId="645BCAC0" w:rsidR="00F540D5" w:rsidRDefault="00307D0A">
      <w:pPr>
        <w:pStyle w:val="Textonotapie"/>
      </w:pPr>
      <w:r>
        <w:rPr>
          <w:rStyle w:val="Refdenotaalpie"/>
        </w:rPr>
        <w:footnoteRef/>
      </w:r>
      <w:r>
        <w:t xml:space="preserve"> Se constatan 87 </w:t>
      </w:r>
      <w:r w:rsidR="00AB258B">
        <w:t>d</w:t>
      </w:r>
      <w:r>
        <w:t xml:space="preserve">ocentes </w:t>
      </w:r>
      <w:r w:rsidR="00AB258B">
        <w:t>o</w:t>
      </w:r>
      <w:r>
        <w:t>rientadores en total. Se utilizan los datos sobre los Docentes Orientadores principales.</w:t>
      </w:r>
    </w:p>
  </w:footnote>
  <w:footnote w:id="4">
    <w:p w14:paraId="490D6CF0" w14:textId="77777777" w:rsidR="00F540D5" w:rsidRDefault="00307D0A">
      <w:pPr>
        <w:pStyle w:val="Textonotapie"/>
      </w:pPr>
      <w:r>
        <w:rPr>
          <w:rStyle w:val="Refdenotaalpie"/>
        </w:rPr>
        <w:footnoteRef/>
      </w:r>
      <w:r>
        <w:t xml:space="preserve"> </w:t>
      </w:r>
      <w:r>
        <w:rPr>
          <w:rFonts w:ascii="Times New Roman" w:eastAsia="Times New Roman" w:hAnsi="Times New Roman" w:cs="Times New Roman"/>
        </w:rPr>
        <w:t>Tomamos como válidas las escolaridades digitales emitidas por el SGAE.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77777777" w:rsidR="00307D0A" w:rsidRDefault="00307D0A">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8DD"/>
    <w:multiLevelType w:val="multilevel"/>
    <w:tmpl w:val="7B4456E4"/>
    <w:lvl w:ilvl="0">
      <w:numFmt w:val="bullet"/>
      <w:lvlText w:val=""/>
      <w:lvlJc w:val="left"/>
      <w:pPr>
        <w:ind w:left="1133" w:hanging="360"/>
      </w:pPr>
      <w:rPr>
        <w:rFonts w:ascii="Symbol" w:hAnsi="Symbol"/>
      </w:rPr>
    </w:lvl>
    <w:lvl w:ilvl="1">
      <w:numFmt w:val="bullet"/>
      <w:lvlText w:val="o"/>
      <w:lvlJc w:val="left"/>
      <w:pPr>
        <w:ind w:left="1853" w:hanging="360"/>
      </w:pPr>
      <w:rPr>
        <w:rFonts w:ascii="Courier New" w:hAnsi="Courier New" w:cs="Courier New"/>
      </w:rPr>
    </w:lvl>
    <w:lvl w:ilvl="2">
      <w:numFmt w:val="bullet"/>
      <w:lvlText w:val=""/>
      <w:lvlJc w:val="left"/>
      <w:pPr>
        <w:ind w:left="2573" w:hanging="360"/>
      </w:pPr>
      <w:rPr>
        <w:rFonts w:ascii="Wingdings" w:hAnsi="Wingdings"/>
      </w:rPr>
    </w:lvl>
    <w:lvl w:ilvl="3">
      <w:numFmt w:val="bullet"/>
      <w:lvlText w:val=""/>
      <w:lvlJc w:val="left"/>
      <w:pPr>
        <w:ind w:left="3293" w:hanging="360"/>
      </w:pPr>
      <w:rPr>
        <w:rFonts w:ascii="Symbol" w:hAnsi="Symbol"/>
      </w:rPr>
    </w:lvl>
    <w:lvl w:ilvl="4">
      <w:numFmt w:val="bullet"/>
      <w:lvlText w:val="o"/>
      <w:lvlJc w:val="left"/>
      <w:pPr>
        <w:ind w:left="4013" w:hanging="360"/>
      </w:pPr>
      <w:rPr>
        <w:rFonts w:ascii="Courier New" w:hAnsi="Courier New" w:cs="Courier New"/>
      </w:rPr>
    </w:lvl>
    <w:lvl w:ilvl="5">
      <w:numFmt w:val="bullet"/>
      <w:lvlText w:val=""/>
      <w:lvlJc w:val="left"/>
      <w:pPr>
        <w:ind w:left="4733" w:hanging="360"/>
      </w:pPr>
      <w:rPr>
        <w:rFonts w:ascii="Wingdings" w:hAnsi="Wingdings"/>
      </w:rPr>
    </w:lvl>
    <w:lvl w:ilvl="6">
      <w:numFmt w:val="bullet"/>
      <w:lvlText w:val=""/>
      <w:lvlJc w:val="left"/>
      <w:pPr>
        <w:ind w:left="5453" w:hanging="360"/>
      </w:pPr>
      <w:rPr>
        <w:rFonts w:ascii="Symbol" w:hAnsi="Symbol"/>
      </w:rPr>
    </w:lvl>
    <w:lvl w:ilvl="7">
      <w:numFmt w:val="bullet"/>
      <w:lvlText w:val="o"/>
      <w:lvlJc w:val="left"/>
      <w:pPr>
        <w:ind w:left="6173" w:hanging="360"/>
      </w:pPr>
      <w:rPr>
        <w:rFonts w:ascii="Courier New" w:hAnsi="Courier New" w:cs="Courier New"/>
      </w:rPr>
    </w:lvl>
    <w:lvl w:ilvl="8">
      <w:numFmt w:val="bullet"/>
      <w:lvlText w:val=""/>
      <w:lvlJc w:val="left"/>
      <w:pPr>
        <w:ind w:left="6893" w:hanging="360"/>
      </w:pPr>
      <w:rPr>
        <w:rFonts w:ascii="Wingdings" w:hAnsi="Wingdings"/>
      </w:rPr>
    </w:lvl>
  </w:abstractNum>
  <w:abstractNum w:abstractNumId="1" w15:restartNumberingAfterBreak="0">
    <w:nsid w:val="2ABC2DF0"/>
    <w:multiLevelType w:val="multilevel"/>
    <w:tmpl w:val="F314FE7E"/>
    <w:lvl w:ilvl="0">
      <w:start w:val="1"/>
      <w:numFmt w:val="lowerRoman"/>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2" w15:restartNumberingAfterBreak="0">
    <w:nsid w:val="34EF04D8"/>
    <w:multiLevelType w:val="multilevel"/>
    <w:tmpl w:val="1C3A3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BF76EB"/>
    <w:multiLevelType w:val="multilevel"/>
    <w:tmpl w:val="B9903846"/>
    <w:lvl w:ilvl="0">
      <w:start w:val="1"/>
      <w:numFmt w:val="decimal"/>
      <w:lvlText w:val="%1."/>
      <w:lvlJc w:val="left"/>
      <w:pPr>
        <w:ind w:left="720" w:hanging="360"/>
      </w:pPr>
      <w:rPr>
        <w:rFonts w:ascii="Times New Roman" w:hAnsi="Times New Roman" w:cs="Times New Roman"/>
        <w:b/>
        <w:bCs/>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705388">
    <w:abstractNumId w:val="3"/>
  </w:num>
  <w:num w:numId="2" w16cid:durableId="1859003914">
    <w:abstractNumId w:val="0"/>
  </w:num>
  <w:num w:numId="3" w16cid:durableId="322203042">
    <w:abstractNumId w:val="2"/>
  </w:num>
  <w:num w:numId="4" w16cid:durableId="67576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D5"/>
    <w:rsid w:val="00193F97"/>
    <w:rsid w:val="00307D0A"/>
    <w:rsid w:val="003B33A4"/>
    <w:rsid w:val="005B1B24"/>
    <w:rsid w:val="009C5452"/>
    <w:rsid w:val="009E5F04"/>
    <w:rsid w:val="00A208D2"/>
    <w:rsid w:val="00AA4FEA"/>
    <w:rsid w:val="00AB258B"/>
    <w:rsid w:val="00F32E4B"/>
    <w:rsid w:val="00F540D5"/>
    <w:rsid w:val="00F731A5"/>
    <w:rsid w:val="59A524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E3C4E1"/>
  <w15:docId w15:val="{B14F8EB1-672B-47E8-AF7A-FA0BFD77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Lohit Hindi"/>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val="es-UY" w:eastAsia="zh-CN" w:bidi="hi-IN"/>
    </w:rPr>
  </w:style>
  <w:style w:type="paragraph" w:styleId="Ttulo1">
    <w:name w:val="heading 1"/>
    <w:basedOn w:val="Normal"/>
    <w:next w:val="Normal"/>
    <w:uiPriority w:val="9"/>
    <w:qFormat/>
    <w:pPr>
      <w:keepNext/>
      <w:keepLines/>
      <w:spacing w:before="240"/>
      <w:outlineLvl w:val="0"/>
    </w:pPr>
    <w:rPr>
      <w:rFonts w:ascii="Calibri Light" w:eastAsia="Times New Roman" w:hAnsi="Calibri Light" w:cs="Mangal"/>
      <w:color w:val="2E74B5"/>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s-UY"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Piedepgina">
    <w:name w:val="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Refdenotaalpie">
    <w:name w:val="footnote reference"/>
    <w:rPr>
      <w:position w:val="0"/>
      <w:vertAlign w:val="superscript"/>
    </w:rPr>
  </w:style>
  <w:style w:type="character" w:customStyle="1" w:styleId="Ttulo1Car">
    <w:name w:val="Título 1 Car"/>
    <w:rPr>
      <w:rFonts w:ascii="Calibri Light" w:eastAsia="Times New Roman" w:hAnsi="Calibri Light" w:cs="Mangal"/>
      <w:color w:val="2E74B5"/>
      <w:sz w:val="32"/>
      <w:szCs w:val="29"/>
    </w:rPr>
  </w:style>
  <w:style w:type="character" w:customStyle="1" w:styleId="object">
    <w:name w:val="object"/>
    <w:basedOn w:val="Fuentedeprrafopredeter"/>
  </w:style>
  <w:style w:type="character" w:customStyle="1" w:styleId="object-hover">
    <w:name w:val="object-hover"/>
    <w:basedOn w:val="Fuentedeprrafopredeter"/>
  </w:style>
  <w:style w:type="paragraph" w:styleId="Textonotapie">
    <w:name w:val="footnote text"/>
    <w:basedOn w:val="Normal"/>
    <w:rPr>
      <w:rFonts w:cs="Mangal"/>
      <w:sz w:val="20"/>
      <w:szCs w:val="18"/>
    </w:rPr>
  </w:style>
  <w:style w:type="character" w:customStyle="1" w:styleId="TextonotapieCar">
    <w:name w:val="Texto nota pie Car"/>
    <w:rPr>
      <w:rFonts w:cs="Mangal"/>
      <w:sz w:val="20"/>
      <w:szCs w:val="18"/>
    </w:rPr>
  </w:style>
  <w:style w:type="character" w:styleId="Refdecomentario">
    <w:name w:val="annotation reference"/>
    <w:rPr>
      <w:sz w:val="16"/>
      <w:szCs w:val="16"/>
    </w:rPr>
  </w:style>
  <w:style w:type="paragraph" w:styleId="Textodeglobo">
    <w:name w:val="Balloon Text"/>
    <w:basedOn w:val="Normal"/>
    <w:rPr>
      <w:rFonts w:ascii="Segoe UI" w:hAnsi="Segoe UI" w:cs="Mangal"/>
      <w:sz w:val="18"/>
      <w:szCs w:val="16"/>
    </w:rPr>
  </w:style>
  <w:style w:type="character" w:customStyle="1" w:styleId="TextodegloboCar">
    <w:name w:val="Texto de globo Car"/>
    <w:rPr>
      <w:rFonts w:ascii="Segoe UI" w:hAnsi="Segoe UI" w:cs="Mangal"/>
      <w:sz w:val="18"/>
      <w:szCs w:val="16"/>
    </w:rPr>
  </w:style>
  <w:style w:type="paragraph" w:styleId="Textocomentario">
    <w:name w:val="annotation text"/>
    <w:basedOn w:val="Normal"/>
    <w:rPr>
      <w:rFonts w:cs="Mangal"/>
      <w:sz w:val="20"/>
      <w:szCs w:val="18"/>
    </w:rPr>
  </w:style>
  <w:style w:type="character" w:customStyle="1" w:styleId="TextocomentarioCar">
    <w:name w:val="Texto comentario Car"/>
    <w:rPr>
      <w:rFonts w:cs="Mangal"/>
      <w:sz w:val="20"/>
      <w:szCs w:val="18"/>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cs="Mangal"/>
      <w:b/>
      <w:bCs/>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8682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Alzugaray</dc:creator>
  <cp:keywords/>
  <cp:lastModifiedBy>Camila Zeballos</cp:lastModifiedBy>
  <cp:revision>2</cp:revision>
  <cp:lastPrinted>2016-05-18T15:03:00Z</cp:lastPrinted>
  <dcterms:created xsi:type="dcterms:W3CDTF">2022-12-20T19:01:00Z</dcterms:created>
  <dcterms:modified xsi:type="dcterms:W3CDTF">2022-12-20T19:01:00Z</dcterms:modified>
</cp:coreProperties>
</file>